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line="240" w:lineRule="auto"/>
        <w:ind w:right="144"/>
        <w:jc w:val="center"/>
        <w:rPr>
          <w:rFonts w:eastAsia="Arial" w:cstheme="minorHAnsi"/>
          <w:b/>
          <w:bCs/>
        </w:rPr>
      </w:pPr>
      <w:bookmarkStart w:id="0" w:name="_Hlk89705654"/>
      <w:bookmarkStart w:id="5" w:name="_GoBack"/>
      <w:bookmarkEnd w:id="5"/>
      <w:r>
        <w:rPr>
          <w:rFonts w:ascii="Calibri" w:hAnsi="Calibri" w:cs="Calibri"/>
          <w:b/>
          <w:bCs/>
        </w:rPr>
        <w:t xml:space="preserve">BMGF-NSFC Joint </w:t>
      </w:r>
      <w:r>
        <w:rPr>
          <w:rFonts w:hint="eastAsia" w:ascii="Calibri" w:hAnsi="Calibri" w:cs="Calibri"/>
          <w:b/>
          <w:bCs/>
          <w:lang w:eastAsia="zh-CN"/>
        </w:rPr>
        <w:t>Pr</w:t>
      </w:r>
      <w:r>
        <w:rPr>
          <w:rFonts w:ascii="Calibri" w:hAnsi="Calibri" w:cs="Calibri"/>
          <w:b/>
          <w:bCs/>
          <w:lang w:eastAsia="zh-CN"/>
        </w:rPr>
        <w:t xml:space="preserve">oject on </w:t>
      </w:r>
      <w:r>
        <w:rPr>
          <w:rFonts w:hint="eastAsia" w:ascii="Calibri" w:hAnsi="Calibri" w:cs="Calibri"/>
          <w:b/>
          <w:bCs/>
          <w:lang w:eastAsia="zh-CN"/>
        </w:rPr>
        <w:t>R</w:t>
      </w:r>
      <w:r>
        <w:rPr>
          <w:rFonts w:ascii="Calibri" w:hAnsi="Calibri" w:cs="Calibri"/>
          <w:b/>
          <w:bCs/>
          <w:lang w:eastAsia="zh-CN"/>
        </w:rPr>
        <w:t>egulatory Science</w:t>
      </w:r>
      <w:bookmarkEnd w:id="0"/>
    </w:p>
    <w:p>
      <w:pPr>
        <w:spacing w:after="0" w:line="240" w:lineRule="auto"/>
        <w:ind w:right="144"/>
        <w:rPr>
          <w:rFonts w:cstheme="minorHAnsi"/>
          <w:b/>
        </w:rPr>
      </w:pPr>
      <w:r>
        <w:rPr>
          <w:rFonts w:eastAsia="Arial" w:cstheme="minorHAnsi"/>
          <w:b/>
          <w:bCs/>
        </w:rPr>
        <w:t xml:space="preserve">Full Proposal </w:t>
      </w:r>
    </w:p>
    <w:p>
      <w:pPr>
        <w:spacing w:after="0" w:line="240" w:lineRule="auto"/>
        <w:ind w:right="144"/>
        <w:rPr>
          <w:rFonts w:eastAsia="Times New Roman" w:cstheme="minorHAnsi"/>
          <w:i/>
          <w:iCs/>
        </w:rPr>
      </w:pPr>
      <w:r>
        <w:rPr>
          <w:rFonts w:eastAsia="Times New Roman" w:cstheme="minorHAnsi"/>
          <w:i/>
          <w:iCs/>
        </w:rPr>
        <w:t xml:space="preserve">We appreciate your interest in submitting a proposal to the Bill &amp; Melinda Gates Foundation. </w:t>
      </w:r>
    </w:p>
    <w:p>
      <w:pPr>
        <w:spacing w:after="0" w:line="240" w:lineRule="auto"/>
        <w:ind w:right="144"/>
        <w:rPr>
          <w:rFonts w:eastAsia="Times New Roman" w:cstheme="minorHAnsi"/>
          <w:i/>
          <w:iCs/>
        </w:rPr>
      </w:pP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This is a proposal shaping document and not a commitment by the foundation to fund the work.</w:t>
      </w: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 xml:space="preserve">the proposal must be submitted in English, one and only application is accepted from one principal investigator (lead investigator). </w:t>
      </w: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 xml:space="preserve">The softcopy (e.g. saved to a disk or USB device) of the this proposal alone with one printed copy must be submitted via physical mail by China Postal EMS (post-marketed date) to the Gates Foundation’s contractor the China S&amp;T Exchange Center </w:t>
      </w:r>
      <w:r>
        <w:rPr>
          <w:rFonts w:hint="eastAsia" w:ascii="宋体" w:hAnsi="宋体" w:eastAsia="宋体" w:cs="宋体"/>
          <w:sz w:val="20"/>
          <w:szCs w:val="20"/>
          <w:lang w:eastAsia="zh-CN"/>
        </w:rPr>
        <w:t>（</w:t>
      </w:r>
      <w:r>
        <w:rPr>
          <w:rFonts w:hint="eastAsia" w:ascii="微软雅黑" w:hAnsi="微软雅黑" w:eastAsia="微软雅黑" w:cs="微软雅黑"/>
          <w:sz w:val="20"/>
          <w:szCs w:val="20"/>
          <w:lang w:eastAsia="zh-CN"/>
        </w:rPr>
        <w:t>打印版和存储版英文</w:t>
      </w:r>
      <w:r>
        <w:rPr>
          <w:rFonts w:hint="eastAsia" w:ascii="微软雅黑" w:hAnsi="微软雅黑" w:eastAsia="微软雅黑" w:cs="微软雅黑"/>
          <w:sz w:val="20"/>
          <w:szCs w:val="20"/>
        </w:rPr>
        <w:t>申请书</w:t>
      </w:r>
      <w:r>
        <w:rPr>
          <w:rFonts w:hint="eastAsia" w:ascii="微软雅黑" w:hAnsi="微软雅黑" w:eastAsia="微软雅黑" w:cs="微软雅黑"/>
          <w:sz w:val="20"/>
          <w:szCs w:val="20"/>
          <w:lang w:eastAsia="zh-CN"/>
        </w:rPr>
        <w:t>需要</w:t>
      </w:r>
      <w:r>
        <w:rPr>
          <w:rFonts w:hint="eastAsia" w:ascii="微软雅黑" w:hAnsi="微软雅黑" w:eastAsia="微软雅黑" w:cs="微软雅黑"/>
          <w:sz w:val="20"/>
          <w:szCs w:val="20"/>
        </w:rPr>
        <w:t>通过中国邮政</w:t>
      </w:r>
      <w:r>
        <w:rPr>
          <w:rFonts w:hint="eastAsia" w:ascii="Calibri" w:hAnsi="Calibri" w:cs="Calibri"/>
          <w:sz w:val="20"/>
          <w:szCs w:val="20"/>
        </w:rPr>
        <w:t>EMS</w:t>
      </w:r>
      <w:r>
        <w:rPr>
          <w:rFonts w:hint="eastAsia" w:ascii="微软雅黑" w:hAnsi="微软雅黑" w:eastAsia="微软雅黑" w:cs="微软雅黑"/>
          <w:sz w:val="20"/>
          <w:szCs w:val="20"/>
        </w:rPr>
        <w:t>快递在规定日期前寄至：中国科学技术交流中心美大处李宁，</w:t>
      </w:r>
      <w:r>
        <w:rPr>
          <w:rFonts w:hint="eastAsia" w:ascii="Calibri" w:hAnsi="Calibri" w:cs="Calibri"/>
          <w:sz w:val="20"/>
          <w:szCs w:val="20"/>
        </w:rPr>
        <w:t xml:space="preserve"> </w:t>
      </w:r>
      <w:r>
        <w:rPr>
          <w:rFonts w:hint="eastAsia" w:ascii="微软雅黑" w:hAnsi="微软雅黑" w:eastAsia="微软雅黑" w:cs="微软雅黑"/>
          <w:sz w:val="20"/>
          <w:szCs w:val="20"/>
        </w:rPr>
        <w:t>北京市三里河路</w:t>
      </w:r>
      <w:r>
        <w:rPr>
          <w:rFonts w:hint="eastAsia" w:ascii="Calibri" w:hAnsi="Calibri" w:cs="Calibri"/>
          <w:sz w:val="20"/>
          <w:szCs w:val="20"/>
        </w:rPr>
        <w:t>54</w:t>
      </w:r>
      <w:r>
        <w:rPr>
          <w:rFonts w:hint="eastAsia" w:ascii="微软雅黑" w:hAnsi="微软雅黑" w:eastAsia="微软雅黑" w:cs="微软雅黑"/>
          <w:sz w:val="20"/>
          <w:szCs w:val="20"/>
        </w:rPr>
        <w:t>号</w:t>
      </w:r>
      <w:r>
        <w:rPr>
          <w:rFonts w:hint="eastAsia" w:ascii="Calibri" w:hAnsi="Calibri" w:cs="Calibri"/>
          <w:sz w:val="20"/>
          <w:szCs w:val="20"/>
        </w:rPr>
        <w:t xml:space="preserve"> </w:t>
      </w:r>
      <w:r>
        <w:rPr>
          <w:rFonts w:hint="eastAsia" w:ascii="微软雅黑" w:hAnsi="微软雅黑" w:eastAsia="微软雅黑" w:cs="微软雅黑"/>
          <w:sz w:val="20"/>
          <w:szCs w:val="20"/>
        </w:rPr>
        <w:t>邮编：</w:t>
      </w:r>
      <w:r>
        <w:rPr>
          <w:rFonts w:hint="eastAsia" w:ascii="Calibri" w:hAnsi="Calibri" w:cs="Calibri"/>
          <w:sz w:val="20"/>
          <w:szCs w:val="20"/>
        </w:rPr>
        <w:t>100045</w:t>
      </w:r>
      <w:r>
        <w:rPr>
          <w:rFonts w:hint="eastAsia" w:ascii="宋体" w:hAnsi="宋体" w:eastAsia="宋体" w:cs="宋体"/>
          <w:sz w:val="20"/>
          <w:szCs w:val="20"/>
          <w:lang w:eastAsia="zh-CN"/>
        </w:rPr>
        <w:t>）</w:t>
      </w:r>
      <w:r>
        <w:rPr>
          <w:rFonts w:ascii="Calibri" w:hAnsi="Calibri" w:cs="Calibri"/>
          <w:sz w:val="20"/>
          <w:szCs w:val="20"/>
        </w:rPr>
        <w:t xml:space="preserve"> by the application deadline specified in the joint BMGF-NSFC Call for Proposal in Chinese. Applications post-marketed after the deadline date will not be accepted.</w:t>
      </w: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Applications must be submitted following the word limits as instructed and following all instructions in the BMGF-NSFC Call for Proposal. Applications which fail to comply with any of the guidance supplied will be rejected.</w:t>
      </w: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Applicants must fill in all sections of the Proposal.</w:t>
      </w:r>
    </w:p>
    <w:p>
      <w:pPr>
        <w:pStyle w:val="36"/>
        <w:numPr>
          <w:ilvl w:val="0"/>
          <w:numId w:val="1"/>
        </w:numPr>
        <w:pBdr>
          <w:top w:val="single" w:color="auto" w:sz="4" w:space="1"/>
          <w:left w:val="single" w:color="auto" w:sz="4" w:space="22"/>
          <w:bottom w:val="single" w:color="auto" w:sz="4" w:space="1"/>
          <w:right w:val="single" w:color="auto" w:sz="4" w:space="4"/>
        </w:pBdr>
        <w:spacing w:after="0"/>
        <w:ind w:right="144"/>
        <w:rPr>
          <w:rFonts w:ascii="Calibri" w:hAnsi="Calibri" w:cs="Calibri"/>
          <w:sz w:val="20"/>
          <w:szCs w:val="20"/>
        </w:rPr>
      </w:pPr>
      <w:r>
        <w:rPr>
          <w:rFonts w:ascii="Calibri" w:hAnsi="Calibri" w:cs="Calibri"/>
          <w:sz w:val="20"/>
          <w:szCs w:val="20"/>
        </w:rPr>
        <w:t>Applications must be submitted as a word document.</w:t>
      </w:r>
    </w:p>
    <w:p>
      <w:pPr>
        <w:spacing w:after="0" w:line="240" w:lineRule="auto"/>
        <w:ind w:right="144"/>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0" w:type="dxa"/>
            <w:tcBorders>
              <w:top w:val="single" w:color="auto" w:sz="4" w:space="0"/>
              <w:left w:val="nil"/>
              <w:bottom w:val="single" w:color="auto" w:sz="4" w:space="0"/>
              <w:right w:val="nil"/>
            </w:tcBorders>
          </w:tcPr>
          <w:p>
            <w:pPr>
              <w:spacing w:after="0" w:line="240" w:lineRule="auto"/>
              <w:ind w:left="-72" w:right="144"/>
              <w:rPr>
                <w:rFonts w:cstheme="minorHAnsi"/>
                <w:b/>
                <w:bCs/>
              </w:rPr>
            </w:pPr>
            <w:r>
              <w:rPr>
                <w:rFonts w:cstheme="minorHAnsi"/>
                <w:b/>
                <w:bCs/>
              </w:rPr>
              <w:t>SECTION A – INVESTMENT Essential Information (Chinese Investigator to Complete)</w:t>
            </w:r>
          </w:p>
        </w:tc>
      </w:tr>
    </w:tbl>
    <w:p>
      <w:pPr>
        <w:spacing w:after="0" w:line="240" w:lineRule="auto"/>
        <w:ind w:right="144"/>
        <w:rPr>
          <w:rFonts w:cs="Calibri"/>
          <w:b/>
        </w:rPr>
      </w:pPr>
      <w:r>
        <w:rPr>
          <w:rFonts w:cs="Calibri"/>
          <w:b/>
        </w:rPr>
        <w:t>GENERAL INFORMATION</w:t>
      </w:r>
    </w:p>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9"/>
        <w:gridCol w:w="998"/>
        <w:gridCol w:w="1767"/>
        <w:gridCol w:w="2695"/>
        <w:gridCol w:w="3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shd w:val="clear" w:color="auto" w:fill="C6D9F1"/>
          </w:tcPr>
          <w:p>
            <w:pPr>
              <w:keepNext/>
              <w:spacing w:after="0" w:line="240" w:lineRule="auto"/>
              <w:ind w:right="144"/>
              <w:rPr>
                <w:rFonts w:cs="Calibri"/>
                <w:b/>
              </w:rPr>
            </w:pPr>
            <w:r>
              <w:rPr>
                <w:rFonts w:cs="Calibri"/>
                <w:b/>
              </w:rPr>
              <w:t xml:space="preserve">Chinese Investigators </w:t>
            </w:r>
            <w:r>
              <w:rPr>
                <w:rFonts w:cs="Calibri"/>
              </w:rPr>
              <w:t>(please delete or add more rows as needed)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0" w:type="pct"/>
            <w:shd w:val="clear" w:color="auto" w:fill="C6D9F1"/>
          </w:tcPr>
          <w:p>
            <w:pPr>
              <w:keepNext/>
              <w:spacing w:after="0" w:line="240" w:lineRule="auto"/>
              <w:ind w:right="144"/>
              <w:rPr>
                <w:rFonts w:cs="Calibri"/>
              </w:rPr>
            </w:pPr>
            <w:r>
              <w:rPr>
                <w:rFonts w:cs="Calibri"/>
                <w:b/>
              </w:rPr>
              <w:t xml:space="preserve">Role: </w:t>
            </w:r>
            <w:r>
              <w:rPr>
                <w:rFonts w:cs="Calibri"/>
              </w:rPr>
              <w:t>(PI, CoI, etc.)</w:t>
            </w:r>
          </w:p>
        </w:tc>
        <w:tc>
          <w:tcPr>
            <w:tcW w:w="453" w:type="pct"/>
            <w:shd w:val="clear" w:color="auto" w:fill="C6D9F1"/>
          </w:tcPr>
          <w:p>
            <w:pPr>
              <w:keepNext/>
              <w:spacing w:after="0" w:line="240" w:lineRule="auto"/>
              <w:ind w:right="144"/>
              <w:rPr>
                <w:rFonts w:cs="Calibri"/>
                <w:b/>
              </w:rPr>
            </w:pPr>
            <w:r>
              <w:rPr>
                <w:rFonts w:cs="Calibri"/>
                <w:b/>
              </w:rPr>
              <w:t>Name:</w:t>
            </w:r>
          </w:p>
        </w:tc>
        <w:tc>
          <w:tcPr>
            <w:tcW w:w="802" w:type="pct"/>
            <w:shd w:val="clear" w:color="auto" w:fill="C6D9F1"/>
          </w:tcPr>
          <w:p>
            <w:pPr>
              <w:keepNext/>
              <w:spacing w:after="0" w:line="240" w:lineRule="auto"/>
              <w:ind w:right="144"/>
              <w:rPr>
                <w:rFonts w:cs="Calibri"/>
                <w:b/>
              </w:rPr>
            </w:pPr>
            <w:r>
              <w:rPr>
                <w:rFonts w:cs="Calibri"/>
                <w:b/>
              </w:rPr>
              <w:t>Organization:</w:t>
            </w:r>
          </w:p>
        </w:tc>
        <w:tc>
          <w:tcPr>
            <w:tcW w:w="1223" w:type="pct"/>
            <w:shd w:val="clear" w:color="auto" w:fill="C6D9F1"/>
          </w:tcPr>
          <w:p>
            <w:pPr>
              <w:keepNext/>
              <w:spacing w:after="0" w:line="240" w:lineRule="auto"/>
              <w:ind w:right="144"/>
              <w:rPr>
                <w:rFonts w:cs="Calibri"/>
                <w:b/>
              </w:rPr>
            </w:pPr>
            <w:r>
              <w:rPr>
                <w:rFonts w:cs="Calibri"/>
                <w:b/>
              </w:rPr>
              <w:t>Division/Department:</w:t>
            </w:r>
          </w:p>
        </w:tc>
        <w:tc>
          <w:tcPr>
            <w:tcW w:w="1492" w:type="pct"/>
            <w:shd w:val="clear" w:color="auto" w:fill="C6D9F1"/>
          </w:tcPr>
          <w:p>
            <w:pPr>
              <w:keepNext/>
              <w:spacing w:after="0" w:line="240" w:lineRule="auto"/>
              <w:ind w:right="144"/>
              <w:rPr>
                <w:rFonts w:cs="Calibri"/>
                <w:b/>
              </w:rPr>
            </w:pPr>
            <w:r>
              <w:rPr>
                <w:rFonts w:cs="Calibri"/>
                <w:b/>
              </w:rPr>
              <w:t>Hours per week on project: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0" w:type="pct"/>
          </w:tcPr>
          <w:p>
            <w:pPr>
              <w:keepNext/>
              <w:spacing w:after="0" w:line="240" w:lineRule="auto"/>
              <w:ind w:right="144"/>
              <w:rPr>
                <w:rFonts w:cs="Calibri"/>
                <w:b/>
              </w:rPr>
            </w:pPr>
          </w:p>
        </w:tc>
        <w:tc>
          <w:tcPr>
            <w:tcW w:w="453" w:type="pct"/>
            <w:shd w:val="clear" w:color="auto" w:fill="auto"/>
          </w:tcPr>
          <w:p>
            <w:pPr>
              <w:keepNext/>
              <w:spacing w:after="0" w:line="240" w:lineRule="auto"/>
              <w:ind w:right="144"/>
              <w:rPr>
                <w:rFonts w:cs="Calibri"/>
                <w:b/>
              </w:rPr>
            </w:pPr>
          </w:p>
        </w:tc>
        <w:tc>
          <w:tcPr>
            <w:tcW w:w="802" w:type="pct"/>
            <w:shd w:val="clear" w:color="auto" w:fill="auto"/>
          </w:tcPr>
          <w:p>
            <w:pPr>
              <w:keepNext/>
              <w:spacing w:after="0" w:line="240" w:lineRule="auto"/>
              <w:ind w:right="144"/>
              <w:rPr>
                <w:rFonts w:cs="Calibri"/>
                <w:b/>
              </w:rPr>
            </w:pPr>
          </w:p>
        </w:tc>
        <w:tc>
          <w:tcPr>
            <w:tcW w:w="1223" w:type="pct"/>
            <w:shd w:val="clear" w:color="auto" w:fill="auto"/>
          </w:tcPr>
          <w:p>
            <w:pPr>
              <w:keepNext/>
              <w:spacing w:after="0" w:line="240" w:lineRule="auto"/>
              <w:ind w:right="144"/>
              <w:rPr>
                <w:rFonts w:cs="Calibri"/>
                <w:b/>
              </w:rPr>
            </w:pPr>
          </w:p>
        </w:tc>
        <w:tc>
          <w:tcPr>
            <w:tcW w:w="1492" w:type="pct"/>
          </w:tcPr>
          <w:p>
            <w:pPr>
              <w:keepNext/>
              <w:spacing w:after="0" w:line="240" w:lineRule="auto"/>
              <w:ind w:right="144"/>
              <w:rPr>
                <w:rFonts w:cs="Calibri"/>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0" w:type="pct"/>
          </w:tcPr>
          <w:p>
            <w:pPr>
              <w:keepNext/>
              <w:spacing w:after="0" w:line="240" w:lineRule="auto"/>
              <w:ind w:right="144"/>
              <w:rPr>
                <w:rFonts w:cs="Calibri"/>
                <w:b/>
              </w:rPr>
            </w:pPr>
          </w:p>
        </w:tc>
        <w:tc>
          <w:tcPr>
            <w:tcW w:w="453" w:type="pct"/>
            <w:shd w:val="clear" w:color="auto" w:fill="auto"/>
          </w:tcPr>
          <w:p>
            <w:pPr>
              <w:keepNext/>
              <w:spacing w:after="0" w:line="240" w:lineRule="auto"/>
              <w:ind w:right="144"/>
              <w:rPr>
                <w:rFonts w:cs="Calibri"/>
                <w:b/>
              </w:rPr>
            </w:pPr>
          </w:p>
        </w:tc>
        <w:tc>
          <w:tcPr>
            <w:tcW w:w="802" w:type="pct"/>
            <w:shd w:val="clear" w:color="auto" w:fill="auto"/>
          </w:tcPr>
          <w:p>
            <w:pPr>
              <w:keepNext/>
              <w:spacing w:after="0" w:line="240" w:lineRule="auto"/>
              <w:ind w:right="144"/>
              <w:rPr>
                <w:rFonts w:cs="Calibri"/>
                <w:b/>
              </w:rPr>
            </w:pPr>
          </w:p>
        </w:tc>
        <w:tc>
          <w:tcPr>
            <w:tcW w:w="1223" w:type="pct"/>
            <w:shd w:val="clear" w:color="auto" w:fill="auto"/>
          </w:tcPr>
          <w:p>
            <w:pPr>
              <w:keepNext/>
              <w:spacing w:after="0" w:line="240" w:lineRule="auto"/>
              <w:ind w:right="144"/>
              <w:rPr>
                <w:rFonts w:cs="Calibri"/>
                <w:b/>
              </w:rPr>
            </w:pPr>
          </w:p>
        </w:tc>
        <w:tc>
          <w:tcPr>
            <w:tcW w:w="1492" w:type="pct"/>
          </w:tcPr>
          <w:p>
            <w:pPr>
              <w:keepNext/>
              <w:spacing w:after="0" w:line="240" w:lineRule="auto"/>
              <w:ind w:right="144"/>
              <w:rPr>
                <w:rFonts w:cs="Calibri"/>
                <w:b/>
              </w:rPr>
            </w:pPr>
          </w:p>
        </w:tc>
      </w:tr>
    </w:tbl>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34"/>
        <w:gridCol w:w="7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0" w:type="pct"/>
            <w:shd w:val="clear" w:color="auto" w:fill="B8CCE4"/>
          </w:tcPr>
          <w:p>
            <w:pPr>
              <w:spacing w:after="0" w:line="240" w:lineRule="auto"/>
              <w:ind w:right="144"/>
              <w:rPr>
                <w:rFonts w:cs="Calibri"/>
                <w:b/>
              </w:rPr>
            </w:pPr>
            <w:r>
              <w:rPr>
                <w:rFonts w:cs="Calibri"/>
                <w:b/>
              </w:rPr>
              <w:t xml:space="preserve">Project title </w:t>
            </w:r>
            <w:r>
              <w:rPr>
                <w:rFonts w:cs="Calibri"/>
              </w:rPr>
              <w:t>[no more than 30 words]:</w:t>
            </w:r>
          </w:p>
        </w:tc>
        <w:tc>
          <w:tcPr>
            <w:tcW w:w="3260" w:type="pct"/>
            <w:shd w:val="clear" w:color="auto" w:fill="auto"/>
          </w:tcPr>
          <w:p>
            <w:pPr>
              <w:spacing w:after="0" w:line="240" w:lineRule="auto"/>
              <w:ind w:right="144"/>
              <w:rPr>
                <w:rFonts w:cs="Calibri"/>
                <w:b/>
              </w:rPr>
            </w:pPr>
          </w:p>
          <w:p>
            <w:pPr>
              <w:spacing w:after="0" w:line="240" w:lineRule="auto"/>
              <w:ind w:right="144"/>
              <w:rPr>
                <w:rFonts w:cs="Calibri"/>
                <w:b/>
              </w:rPr>
            </w:pPr>
          </w:p>
        </w:tc>
      </w:tr>
    </w:tbl>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shd w:val="clear" w:color="auto" w:fill="C6D9F1"/>
          </w:tcPr>
          <w:p>
            <w:pPr>
              <w:spacing w:after="0" w:line="240" w:lineRule="auto"/>
              <w:ind w:right="144"/>
              <w:rPr>
                <w:rFonts w:cs="Calibri"/>
              </w:rPr>
            </w:pPr>
            <w:bookmarkStart w:id="1" w:name="_Hlk89356670"/>
            <w:r>
              <w:rPr>
                <w:rFonts w:cs="Calibri"/>
                <w:b/>
              </w:rPr>
              <w:t xml:space="preserve">Executive summary </w:t>
            </w:r>
            <w:r>
              <w:rPr>
                <w:rFonts w:cs="Calibri"/>
              </w:rPr>
              <w:t>(please describe research objectives, problem(s) to be solved, the technical route/approach, innovations) [no more than 2000 words]</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shd w:val="clear" w:color="auto" w:fill="auto"/>
          </w:tcPr>
          <w:p>
            <w:pPr>
              <w:spacing w:after="0" w:line="240" w:lineRule="auto"/>
              <w:ind w:right="144"/>
              <w:rPr>
                <w:rFonts w:cs="Calibri"/>
                <w:bCs/>
              </w:rPr>
            </w:pPr>
            <w:r>
              <w:rPr>
                <w:rFonts w:cs="Calibri"/>
                <w:bCs/>
              </w:rPr>
              <w:t>Research objective(s):</w:t>
            </w:r>
          </w:p>
          <w:p>
            <w:pPr>
              <w:spacing w:after="0" w:line="240" w:lineRule="auto"/>
              <w:ind w:right="144"/>
              <w:rPr>
                <w:rFonts w:cs="Calibri"/>
                <w:bCs/>
              </w:rPr>
            </w:pPr>
          </w:p>
          <w:p>
            <w:pPr>
              <w:spacing w:after="0" w:line="240" w:lineRule="auto"/>
              <w:ind w:right="144"/>
              <w:rPr>
                <w:rFonts w:cs="Calibri"/>
                <w:bCs/>
              </w:rPr>
            </w:pPr>
            <w:r>
              <w:rPr>
                <w:rFonts w:cs="Calibri"/>
                <w:bCs/>
              </w:rPr>
              <w:t>Problem(s) to be solved:</w:t>
            </w:r>
          </w:p>
          <w:p>
            <w:pPr>
              <w:spacing w:after="0" w:line="240" w:lineRule="auto"/>
              <w:ind w:right="144"/>
              <w:rPr>
                <w:rFonts w:cs="Calibri"/>
                <w:bCs/>
              </w:rPr>
            </w:pPr>
          </w:p>
          <w:p>
            <w:pPr>
              <w:spacing w:after="0" w:line="240" w:lineRule="auto"/>
              <w:ind w:right="144"/>
              <w:rPr>
                <w:rFonts w:cs="Calibri"/>
                <w:bCs/>
              </w:rPr>
            </w:pPr>
            <w:r>
              <w:rPr>
                <w:rFonts w:cs="Calibri"/>
                <w:bCs/>
              </w:rPr>
              <w:t>Technical approach:</w:t>
            </w:r>
          </w:p>
          <w:p>
            <w:pPr>
              <w:spacing w:after="0" w:line="240" w:lineRule="auto"/>
              <w:ind w:right="144"/>
              <w:rPr>
                <w:rFonts w:cs="Calibri"/>
                <w:bCs/>
              </w:rPr>
            </w:pPr>
          </w:p>
          <w:p>
            <w:pPr>
              <w:spacing w:after="0" w:line="240" w:lineRule="auto"/>
              <w:ind w:right="144"/>
              <w:rPr>
                <w:rFonts w:cs="Calibri"/>
                <w:bCs/>
              </w:rPr>
            </w:pPr>
            <w:r>
              <w:rPr>
                <w:rFonts w:cs="Calibri"/>
                <w:bCs/>
              </w:rPr>
              <w:t>Innovations:</w:t>
            </w:r>
          </w:p>
          <w:p>
            <w:pPr>
              <w:spacing w:after="0" w:line="240" w:lineRule="auto"/>
              <w:ind w:right="144"/>
              <w:rPr>
                <w:rFonts w:cs="Calibri"/>
                <w:b/>
              </w:rPr>
            </w:pPr>
          </w:p>
        </w:tc>
      </w:tr>
    </w:tbl>
    <w:p>
      <w:pPr>
        <w:spacing w:after="0" w:line="240" w:lineRule="auto"/>
        <w:ind w:right="144"/>
        <w:rPr>
          <w:rFonts w:cs="Calibri"/>
          <w:b/>
          <w:lang w:eastAsia="zh-CN"/>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0"/>
        <w:gridCol w:w="3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B8CCE4"/>
          </w:tcPr>
          <w:p>
            <w:pPr>
              <w:pStyle w:val="3"/>
              <w:spacing w:before="0" w:line="240" w:lineRule="auto"/>
              <w:ind w:right="144"/>
              <w:rPr>
                <w:rFonts w:ascii="Calibri" w:hAnsi="Calibri" w:cs="Calibri"/>
                <w:i/>
                <w:sz w:val="22"/>
                <w:szCs w:val="22"/>
              </w:rPr>
            </w:pPr>
            <w:r>
              <w:rPr>
                <w:rFonts w:ascii="Calibri" w:hAnsi="Calibri" w:cs="Calibri"/>
                <w:b/>
                <w:bCs/>
                <w:i/>
                <w:sz w:val="22"/>
                <w:szCs w:val="22"/>
              </w:rPr>
              <w:t>F</w:t>
            </w:r>
            <w:r>
              <w:rPr>
                <w:rFonts w:hint="eastAsia" w:ascii="等线" w:hAnsi="等线" w:eastAsia="等线" w:cs="Calibri"/>
                <w:b/>
                <w:bCs/>
                <w:i/>
                <w:sz w:val="22"/>
                <w:szCs w:val="22"/>
                <w:lang w:eastAsia="zh-CN"/>
              </w:rPr>
              <w:t>o</w:t>
            </w:r>
            <w:r>
              <w:rPr>
                <w:rFonts w:ascii="Calibri" w:hAnsi="Calibri" w:cs="Calibri"/>
                <w:b/>
                <w:bCs/>
                <w:i/>
                <w:sz w:val="22"/>
                <w:szCs w:val="22"/>
              </w:rPr>
              <w:t>cus areas</w:t>
            </w:r>
            <w:r>
              <w:rPr>
                <w:rFonts w:ascii="Calibri" w:hAnsi="Calibri" w:cs="Calibri"/>
                <w:i/>
                <w:sz w:val="22"/>
                <w:szCs w:val="22"/>
              </w:rPr>
              <w:t xml:space="preserve"> </w:t>
            </w:r>
            <w:r>
              <w:rPr>
                <w:rFonts w:ascii="Calibri" w:hAnsi="Calibri" w:cs="Calibri"/>
                <w:b/>
                <w:i/>
                <w:sz w:val="22"/>
                <w:szCs w:val="22"/>
              </w:rPr>
              <w:t>(please indicate which the focus area(s) are covered in your proposal)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6" w:type="pct"/>
            <w:shd w:val="clear" w:color="auto" w:fill="B8CCE4"/>
          </w:tcPr>
          <w:p>
            <w:pPr>
              <w:pStyle w:val="3"/>
              <w:spacing w:before="0" w:line="240" w:lineRule="auto"/>
              <w:ind w:right="144"/>
              <w:rPr>
                <w:rFonts w:ascii="Calibri" w:hAnsi="Calibri" w:cs="Calibri"/>
                <w:bCs/>
                <w:i/>
                <w:color w:val="auto"/>
                <w:sz w:val="22"/>
                <w:szCs w:val="22"/>
              </w:rPr>
            </w:pPr>
            <w:r>
              <w:rPr>
                <w:rFonts w:ascii="Calibri" w:hAnsi="Calibri" w:cs="Calibri"/>
                <w:bCs/>
                <w:i/>
                <w:color w:val="auto"/>
                <w:sz w:val="22"/>
                <w:szCs w:val="22"/>
              </w:rPr>
              <w:t>(1) Research on policies and pathways to improve effectiveness of vaccine regulation</w:t>
            </w:r>
          </w:p>
        </w:tc>
        <w:tc>
          <w:tcPr>
            <w:tcW w:w="1564" w:type="pct"/>
            <w:shd w:val="clear" w:color="auto" w:fill="auto"/>
          </w:tcPr>
          <w:p>
            <w:pPr>
              <w:pStyle w:val="3"/>
              <w:spacing w:before="0" w:line="240" w:lineRule="auto"/>
              <w:ind w:right="144"/>
              <w:rPr>
                <w:rFonts w:ascii="Calibri" w:hAnsi="Calibri" w:cs="Calibri"/>
                <w:i/>
                <w:sz w:val="22"/>
                <w:szCs w:val="22"/>
              </w:rPr>
            </w:pPr>
            <w:r>
              <w:rPr>
                <w:rFonts w:ascii="Calibri" w:hAnsi="Calibri" w:cs="Calibri"/>
                <w:b/>
                <w:i/>
                <w:sz w:val="22"/>
                <w:szCs w:val="22"/>
              </w:rPr>
              <w:fldChar w:fldCharType="begin">
                <w:ffData>
                  <w:name w:val="PIAttendingWorkshop"/>
                  <w:enabled/>
                  <w:calcOnExit w:val="0"/>
                  <w:checkBox>
                    <w:sizeAuto/>
                    <w:default w:val="0"/>
                    <w:checked w:val="0"/>
                  </w:checkBox>
                </w:ffData>
              </w:fldChar>
            </w:r>
            <w:r>
              <w:rPr>
                <w:rFonts w:ascii="Calibri" w:hAnsi="Calibri" w:cs="Calibri"/>
                <w:b/>
                <w:i/>
                <w:sz w:val="22"/>
                <w:szCs w:val="22"/>
              </w:rPr>
              <w:instrText xml:space="preserve"> FORMCHECKBOX </w:instrText>
            </w:r>
            <w:r>
              <w:rPr>
                <w:rFonts w:ascii="Calibri" w:hAnsi="Calibri" w:cs="Calibri"/>
                <w:b/>
                <w:i/>
                <w:sz w:val="22"/>
                <w:szCs w:val="22"/>
              </w:rPr>
              <w:fldChar w:fldCharType="separate"/>
            </w:r>
            <w:r>
              <w:rPr>
                <w:rFonts w:ascii="Calibri" w:hAnsi="Calibri" w:cs="Calibri"/>
                <w:b/>
                <w:i/>
                <w:sz w:val="22"/>
                <w:szCs w:val="2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6" w:type="pct"/>
            <w:shd w:val="clear" w:color="auto" w:fill="B8CCE4"/>
          </w:tcPr>
          <w:p>
            <w:pPr>
              <w:pStyle w:val="3"/>
              <w:spacing w:before="0" w:line="240" w:lineRule="auto"/>
              <w:ind w:right="144"/>
              <w:rPr>
                <w:rFonts w:ascii="Calibri" w:hAnsi="Calibri" w:cs="Calibri"/>
                <w:bCs/>
                <w:i/>
                <w:color w:val="auto"/>
                <w:sz w:val="22"/>
                <w:szCs w:val="22"/>
              </w:rPr>
            </w:pPr>
            <w:r>
              <w:rPr>
                <w:rFonts w:ascii="Calibri" w:hAnsi="Calibri" w:cs="Calibri"/>
                <w:bCs/>
                <w:i/>
                <w:color w:val="auto"/>
                <w:sz w:val="22"/>
                <w:szCs w:val="22"/>
              </w:rPr>
              <w:t>(2) Research on vaccine regulatory system reform and process optimization</w:t>
            </w:r>
          </w:p>
        </w:tc>
        <w:tc>
          <w:tcPr>
            <w:tcW w:w="1564" w:type="pct"/>
            <w:shd w:val="clear" w:color="auto" w:fill="auto"/>
          </w:tcPr>
          <w:p>
            <w:pPr>
              <w:pStyle w:val="3"/>
              <w:spacing w:before="0" w:line="240" w:lineRule="auto"/>
              <w:ind w:right="144"/>
              <w:rPr>
                <w:rFonts w:ascii="Calibri" w:hAnsi="Calibri" w:cs="Calibri"/>
                <w:i/>
                <w:sz w:val="22"/>
                <w:szCs w:val="22"/>
              </w:rPr>
            </w:pPr>
            <w:r>
              <w:rPr>
                <w:rFonts w:ascii="Calibri" w:hAnsi="Calibri" w:cs="Calibri"/>
                <w:i/>
                <w:sz w:val="22"/>
                <w:szCs w:val="22"/>
              </w:rPr>
              <w:fldChar w:fldCharType="begin">
                <w:ffData>
                  <w:name w:val="PIAttendingWorkshop"/>
                  <w:enabled/>
                  <w:calcOnExit w:val="0"/>
                  <w:checkBox>
                    <w:sizeAuto/>
                    <w:default w:val="0"/>
                    <w:checked w:val="0"/>
                  </w:checkBox>
                </w:ffData>
              </w:fldChar>
            </w:r>
            <w:r>
              <w:rPr>
                <w:rFonts w:ascii="Calibri" w:hAnsi="Calibri" w:cs="Calibri"/>
                <w:i/>
                <w:sz w:val="22"/>
                <w:szCs w:val="22"/>
              </w:rPr>
              <w:instrText xml:space="preserve"> FORMCHECKBOX </w:instrText>
            </w:r>
            <w:r>
              <w:rPr>
                <w:rFonts w:ascii="Calibri" w:hAnsi="Calibri" w:cs="Calibri"/>
                <w:i/>
                <w:sz w:val="22"/>
                <w:szCs w:val="22"/>
              </w:rPr>
              <w:fldChar w:fldCharType="separate"/>
            </w:r>
            <w:r>
              <w:rPr>
                <w:rFonts w:ascii="Calibri" w:hAnsi="Calibri" w:cs="Calibri"/>
                <w:i/>
                <w:sz w:val="22"/>
                <w:szCs w:val="2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6" w:type="pct"/>
            <w:shd w:val="clear" w:color="auto" w:fill="B8CCE4"/>
          </w:tcPr>
          <w:p>
            <w:pPr>
              <w:pStyle w:val="3"/>
              <w:spacing w:before="0" w:line="240" w:lineRule="auto"/>
              <w:ind w:right="144"/>
              <w:rPr>
                <w:rFonts w:ascii="Calibri" w:hAnsi="Calibri" w:cs="Calibri"/>
                <w:bCs/>
                <w:i/>
                <w:color w:val="auto"/>
                <w:sz w:val="22"/>
                <w:szCs w:val="22"/>
              </w:rPr>
            </w:pPr>
            <w:r>
              <w:rPr>
                <w:rFonts w:ascii="Calibri" w:hAnsi="Calibri" w:cs="Calibri"/>
                <w:bCs/>
                <w:i/>
                <w:color w:val="auto"/>
                <w:sz w:val="22"/>
                <w:szCs w:val="22"/>
              </w:rPr>
              <w:t>(3) Research on new regulatory science tools and new approaches to evaluating vaccine efficacy, safety, and manufacturing quality (including technology transfer implications)</w:t>
            </w:r>
          </w:p>
        </w:tc>
        <w:tc>
          <w:tcPr>
            <w:tcW w:w="1564" w:type="pct"/>
            <w:shd w:val="clear" w:color="auto" w:fill="auto"/>
          </w:tcPr>
          <w:p>
            <w:pPr>
              <w:pStyle w:val="3"/>
              <w:spacing w:before="0" w:line="240" w:lineRule="auto"/>
              <w:ind w:right="144"/>
              <w:rPr>
                <w:rFonts w:ascii="Calibri" w:hAnsi="Calibri" w:cs="Calibri"/>
                <w:b/>
                <w:i/>
                <w:sz w:val="22"/>
                <w:szCs w:val="22"/>
              </w:rPr>
            </w:pPr>
            <w:r>
              <w:rPr>
                <w:rFonts w:ascii="Calibri" w:hAnsi="Calibri" w:cs="Calibri"/>
                <w:i/>
                <w:sz w:val="22"/>
                <w:szCs w:val="22"/>
              </w:rPr>
              <w:fldChar w:fldCharType="begin">
                <w:ffData>
                  <w:name w:val="PIAttendingWorkshop"/>
                  <w:enabled/>
                  <w:calcOnExit w:val="0"/>
                  <w:checkBox>
                    <w:sizeAuto/>
                    <w:default w:val="0"/>
                    <w:checked w:val="0"/>
                  </w:checkBox>
                </w:ffData>
              </w:fldChar>
            </w:r>
            <w:r>
              <w:rPr>
                <w:rFonts w:ascii="Calibri" w:hAnsi="Calibri" w:cs="Calibri"/>
                <w:i/>
                <w:sz w:val="22"/>
                <w:szCs w:val="22"/>
              </w:rPr>
              <w:instrText xml:space="preserve"> FORMCHECKBOX </w:instrText>
            </w:r>
            <w:r>
              <w:rPr>
                <w:rFonts w:ascii="Calibri" w:hAnsi="Calibri" w:cs="Calibri"/>
                <w:i/>
                <w:sz w:val="22"/>
                <w:szCs w:val="22"/>
              </w:rPr>
              <w:fldChar w:fldCharType="separate"/>
            </w:r>
            <w:r>
              <w:rPr>
                <w:rFonts w:ascii="Calibri" w:hAnsi="Calibri" w:cs="Calibri"/>
                <w:i/>
                <w:sz w:val="22"/>
                <w:szCs w:val="22"/>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6" w:type="pct"/>
            <w:shd w:val="clear" w:color="auto" w:fill="B8CCE4"/>
          </w:tcPr>
          <w:p>
            <w:pPr>
              <w:pStyle w:val="3"/>
              <w:spacing w:before="0" w:line="240" w:lineRule="auto"/>
              <w:ind w:right="144"/>
              <w:rPr>
                <w:rFonts w:ascii="Calibri" w:hAnsi="Calibri" w:cs="Calibri"/>
                <w:bCs/>
                <w:i/>
                <w:color w:val="auto"/>
                <w:sz w:val="22"/>
                <w:szCs w:val="22"/>
              </w:rPr>
            </w:pPr>
            <w:r>
              <w:rPr>
                <w:rFonts w:ascii="Calibri" w:hAnsi="Calibri" w:cs="Calibri"/>
                <w:bCs/>
                <w:i/>
                <w:color w:val="auto"/>
                <w:sz w:val="22"/>
                <w:szCs w:val="22"/>
              </w:rPr>
              <w:t>(4) Innovative research on active post-marketing pharmacovigilance for vaccines</w:t>
            </w:r>
          </w:p>
        </w:tc>
        <w:tc>
          <w:tcPr>
            <w:tcW w:w="1564" w:type="pct"/>
            <w:shd w:val="clear" w:color="auto" w:fill="auto"/>
          </w:tcPr>
          <w:p>
            <w:pPr>
              <w:pStyle w:val="3"/>
              <w:spacing w:before="0" w:line="240" w:lineRule="auto"/>
              <w:ind w:right="144"/>
              <w:rPr>
                <w:rFonts w:ascii="Calibri" w:hAnsi="Calibri" w:cs="Calibri"/>
                <w:i/>
                <w:sz w:val="22"/>
                <w:szCs w:val="22"/>
              </w:rPr>
            </w:pPr>
            <w:r>
              <w:rPr>
                <w:rFonts w:ascii="Calibri" w:hAnsi="Calibri" w:cs="Calibri"/>
                <w:i/>
                <w:sz w:val="22"/>
                <w:szCs w:val="22"/>
              </w:rPr>
              <w:fldChar w:fldCharType="begin">
                <w:ffData>
                  <w:name w:val="PIAttendingWorkshop"/>
                  <w:enabled/>
                  <w:calcOnExit w:val="0"/>
                  <w:checkBox>
                    <w:sizeAuto/>
                    <w:default w:val="0"/>
                    <w:checked w:val="0"/>
                  </w:checkBox>
                </w:ffData>
              </w:fldChar>
            </w:r>
            <w:r>
              <w:rPr>
                <w:rFonts w:ascii="Calibri" w:hAnsi="Calibri" w:cs="Calibri"/>
                <w:i/>
                <w:sz w:val="22"/>
                <w:szCs w:val="22"/>
              </w:rPr>
              <w:instrText xml:space="preserve"> FORMCHECKBOX </w:instrText>
            </w:r>
            <w:r>
              <w:rPr>
                <w:rFonts w:ascii="Calibri" w:hAnsi="Calibri" w:cs="Calibri"/>
                <w:i/>
                <w:sz w:val="22"/>
                <w:szCs w:val="22"/>
              </w:rPr>
              <w:fldChar w:fldCharType="separate"/>
            </w:r>
            <w:r>
              <w:rPr>
                <w:rFonts w:ascii="Calibri" w:hAnsi="Calibri" w:cs="Calibri"/>
                <w:i/>
                <w:sz w:val="22"/>
                <w:szCs w:val="22"/>
              </w:rPr>
              <w:fldChar w:fldCharType="end"/>
            </w:r>
          </w:p>
        </w:tc>
      </w:tr>
    </w:tbl>
    <w:p>
      <w:pPr>
        <w:spacing w:after="0" w:line="240" w:lineRule="auto"/>
        <w:ind w:right="144"/>
        <w:rPr>
          <w:rFonts w:cs="Calibri"/>
          <w:b/>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0"/>
        <w:gridCol w:w="6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shd w:val="clear" w:color="auto" w:fill="C6D9F1"/>
          </w:tcPr>
          <w:p>
            <w:pPr>
              <w:spacing w:after="0" w:line="240" w:lineRule="auto"/>
              <w:ind w:right="144"/>
              <w:rPr>
                <w:rFonts w:cs="Calibri"/>
                <w:b/>
              </w:rPr>
            </w:pPr>
            <w:r>
              <w:rPr>
                <w:rFonts w:cs="Calibri"/>
                <w:b/>
              </w:rPr>
              <w:t>Duration of grant in months</w:t>
            </w:r>
          </w:p>
          <w:p>
            <w:pPr>
              <w:spacing w:after="0" w:line="240" w:lineRule="auto"/>
              <w:ind w:right="144"/>
              <w:rPr>
                <w:rFonts w:cs="Calibri"/>
                <w:b/>
              </w:rPr>
            </w:pPr>
            <w:r>
              <w:rPr>
                <w:rFonts w:cs="Calibri"/>
                <w:b/>
              </w:rPr>
              <w:t xml:space="preserve"> </w:t>
            </w:r>
            <w:r>
              <w:rPr>
                <w:rFonts w:cs="Calibri"/>
              </w:rPr>
              <w:t>(36 months)</w:t>
            </w:r>
          </w:p>
        </w:tc>
        <w:tc>
          <w:tcPr>
            <w:tcW w:w="6344" w:type="dxa"/>
            <w:shd w:val="clear" w:color="auto" w:fill="auto"/>
          </w:tcPr>
          <w:p>
            <w:pPr>
              <w:spacing w:after="0" w:line="240" w:lineRule="auto"/>
              <w:ind w:right="144"/>
              <w:rPr>
                <w:rFonts w:cs="Calibri"/>
                <w:b/>
              </w:rPr>
            </w:pPr>
          </w:p>
        </w:tc>
      </w:tr>
    </w:tbl>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2331"/>
        <w:gridCol w:w="7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shd w:val="clear" w:color="auto" w:fill="C6D9F1"/>
          </w:tcPr>
          <w:p>
            <w:pPr>
              <w:spacing w:after="0" w:line="240" w:lineRule="auto"/>
              <w:ind w:right="144"/>
              <w:rPr>
                <w:rFonts w:cs="Calibri"/>
                <w:b/>
              </w:rPr>
            </w:pPr>
            <w:r>
              <w:rPr>
                <w:rFonts w:cs="Calibri"/>
                <w:b/>
              </w:rPr>
              <w:t xml:space="preserve">Project Partners </w:t>
            </w:r>
            <w:r>
              <w:rPr>
                <w:rFonts w:cs="Calibri"/>
                <w:bCs/>
              </w:rPr>
              <w:t>O</w:t>
            </w:r>
            <w:r>
              <w:rPr>
                <w:rFonts w:cs="Calibri"/>
              </w:rPr>
              <w:t>ne international collaborator (at the individual or institutional level) is required;  One or two domestic partners (two maximum) are allowed (. Please delete or Add more rows as needed)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pct"/>
            <w:shd w:val="clear" w:color="auto" w:fill="C6D9F1"/>
          </w:tcPr>
          <w:p>
            <w:pPr>
              <w:spacing w:after="0" w:line="240" w:lineRule="auto"/>
              <w:ind w:right="144"/>
              <w:rPr>
                <w:rFonts w:cs="Calibri"/>
                <w:b/>
              </w:rPr>
            </w:pPr>
            <w:r>
              <w:rPr>
                <w:rFonts w:cs="Calibri"/>
                <w:b/>
              </w:rPr>
              <w:t>Name:</w:t>
            </w:r>
          </w:p>
        </w:tc>
        <w:tc>
          <w:tcPr>
            <w:tcW w:w="1058" w:type="pct"/>
            <w:shd w:val="clear" w:color="auto" w:fill="C6D9F1"/>
          </w:tcPr>
          <w:p>
            <w:pPr>
              <w:spacing w:after="0" w:line="240" w:lineRule="auto"/>
              <w:ind w:right="144"/>
              <w:rPr>
                <w:rFonts w:cs="Calibri"/>
                <w:b/>
              </w:rPr>
            </w:pPr>
            <w:r>
              <w:rPr>
                <w:rFonts w:cs="Calibri"/>
                <w:b/>
              </w:rPr>
              <w:t>Organization:</w:t>
            </w:r>
          </w:p>
        </w:tc>
        <w:tc>
          <w:tcPr>
            <w:tcW w:w="3344" w:type="pct"/>
            <w:shd w:val="clear" w:color="auto" w:fill="C6D9F1"/>
          </w:tcPr>
          <w:p>
            <w:pPr>
              <w:spacing w:after="0" w:line="240" w:lineRule="auto"/>
              <w:ind w:right="144"/>
              <w:rPr>
                <w:rFonts w:cs="Calibri"/>
                <w:b/>
              </w:rPr>
            </w:pPr>
            <w:r>
              <w:rPr>
                <w:rFonts w:cs="Calibri"/>
                <w:b/>
              </w:rPr>
              <w:t>Input into project (funds, advice, facilities, etc.) and whether proposed or secured: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pct"/>
            <w:shd w:val="clear" w:color="auto" w:fill="auto"/>
          </w:tcPr>
          <w:p>
            <w:pPr>
              <w:spacing w:after="0" w:line="240" w:lineRule="auto"/>
              <w:ind w:right="144"/>
              <w:rPr>
                <w:rFonts w:cs="Calibri"/>
                <w:b/>
              </w:rPr>
            </w:pPr>
          </w:p>
        </w:tc>
        <w:tc>
          <w:tcPr>
            <w:tcW w:w="1058" w:type="pct"/>
            <w:shd w:val="clear" w:color="auto" w:fill="auto"/>
          </w:tcPr>
          <w:p>
            <w:pPr>
              <w:spacing w:after="0" w:line="240" w:lineRule="auto"/>
              <w:ind w:right="144"/>
              <w:rPr>
                <w:rFonts w:cs="Calibri"/>
                <w:b/>
              </w:rPr>
            </w:pPr>
          </w:p>
        </w:tc>
        <w:tc>
          <w:tcPr>
            <w:tcW w:w="3344" w:type="pct"/>
          </w:tcPr>
          <w:p>
            <w:pPr>
              <w:spacing w:after="0" w:line="240" w:lineRule="auto"/>
              <w:ind w:right="144"/>
              <w:rPr>
                <w:rFonts w:cs="Calibri"/>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8" w:type="pct"/>
            <w:shd w:val="clear" w:color="auto" w:fill="auto"/>
          </w:tcPr>
          <w:p>
            <w:pPr>
              <w:spacing w:after="0" w:line="240" w:lineRule="auto"/>
              <w:ind w:right="144"/>
              <w:rPr>
                <w:rFonts w:cs="Calibri"/>
                <w:b/>
              </w:rPr>
            </w:pPr>
          </w:p>
        </w:tc>
        <w:tc>
          <w:tcPr>
            <w:tcW w:w="1058" w:type="pct"/>
            <w:shd w:val="clear" w:color="auto" w:fill="auto"/>
          </w:tcPr>
          <w:p>
            <w:pPr>
              <w:spacing w:after="0" w:line="240" w:lineRule="auto"/>
              <w:ind w:right="144"/>
              <w:rPr>
                <w:rFonts w:cs="Calibri"/>
                <w:b/>
              </w:rPr>
            </w:pPr>
          </w:p>
        </w:tc>
        <w:tc>
          <w:tcPr>
            <w:tcW w:w="3344" w:type="pct"/>
          </w:tcPr>
          <w:p>
            <w:pPr>
              <w:spacing w:after="0" w:line="240" w:lineRule="auto"/>
              <w:ind w:right="144"/>
              <w:rPr>
                <w:rFonts w:cs="Calibri"/>
                <w:b/>
              </w:rPr>
            </w:pPr>
          </w:p>
        </w:tc>
      </w:tr>
    </w:tbl>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shd w:val="clear" w:color="auto" w:fill="C6D9F1"/>
          </w:tcPr>
          <w:p>
            <w:pPr>
              <w:spacing w:after="0" w:line="240" w:lineRule="auto"/>
              <w:ind w:right="144"/>
              <w:rPr>
                <w:rFonts w:cs="Calibri"/>
              </w:rPr>
            </w:pPr>
            <w:r>
              <w:rPr>
                <w:rFonts w:cs="Calibri"/>
                <w:b/>
              </w:rPr>
              <w:t xml:space="preserve">Composition, expertise and experience of your project team, including any previous collaborations </w:t>
            </w:r>
            <w:r>
              <w:rPr>
                <w:rFonts w:cs="Calibri"/>
              </w:rPr>
              <w:t>[no more than 500 words]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shd w:val="clear" w:color="auto" w:fill="auto"/>
          </w:tcPr>
          <w:p>
            <w:pPr>
              <w:spacing w:after="0" w:line="240" w:lineRule="auto"/>
              <w:ind w:right="144"/>
              <w:rPr>
                <w:rFonts w:cs="Calibri"/>
                <w:b/>
              </w:rPr>
            </w:pPr>
          </w:p>
        </w:tc>
      </w:tr>
    </w:tbl>
    <w:p>
      <w:pPr>
        <w:spacing w:after="0" w:line="240" w:lineRule="auto"/>
        <w:ind w:right="144"/>
        <w:rPr>
          <w:rFonts w:cs="Calibri"/>
          <w:b/>
          <w:bCs/>
          <w:iCs/>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shd w:val="clear" w:color="auto" w:fill="C6D9F1"/>
          </w:tcPr>
          <w:p>
            <w:pPr>
              <w:spacing w:after="0" w:line="240" w:lineRule="auto"/>
              <w:ind w:right="144"/>
              <w:rPr>
                <w:rFonts w:cs="Calibri"/>
              </w:rPr>
            </w:pPr>
            <w:r>
              <w:rPr>
                <w:rFonts w:cs="Calibri"/>
                <w:b/>
              </w:rPr>
              <w:t>A</w:t>
            </w:r>
            <w:r>
              <w:rPr>
                <w:rFonts w:hint="eastAsia" w:cs="Calibri"/>
                <w:b/>
                <w:lang w:eastAsia="zh-CN"/>
              </w:rPr>
              <w:t>nn</w:t>
            </w:r>
            <w:r>
              <w:rPr>
                <w:rFonts w:cs="Calibri"/>
                <w:b/>
              </w:rPr>
              <w:t xml:space="preserve">ual work plan, including approaches, activities, milestones, and how your work plan can address the </w:t>
            </w:r>
            <w:r>
              <w:rPr>
                <w:rFonts w:hint="eastAsia" w:cs="Calibri"/>
                <w:b/>
                <w:lang w:eastAsia="zh-CN"/>
              </w:rPr>
              <w:t>resear</w:t>
            </w:r>
            <w:r>
              <w:rPr>
                <w:rFonts w:cs="Calibri"/>
                <w:b/>
                <w:lang w:eastAsia="zh-CN"/>
              </w:rPr>
              <w:t xml:space="preserve">ch </w:t>
            </w:r>
            <w:r>
              <w:rPr>
                <w:rFonts w:cs="Calibri"/>
                <w:b/>
              </w:rPr>
              <w:t xml:space="preserve">objective (s) of the project </w:t>
            </w:r>
            <w:r>
              <w:rPr>
                <w:rFonts w:cs="Calibri"/>
              </w:rPr>
              <w:t>[no more than 1000 words]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shd w:val="clear" w:color="auto" w:fill="auto"/>
          </w:tcPr>
          <w:p>
            <w:pPr>
              <w:spacing w:after="0" w:line="240" w:lineRule="auto"/>
              <w:ind w:right="144"/>
              <w:rPr>
                <w:rFonts w:cs="Calibri"/>
                <w:bCs/>
              </w:rPr>
            </w:pPr>
            <w:r>
              <w:rPr>
                <w:rFonts w:cs="Calibri"/>
                <w:bCs/>
              </w:rPr>
              <w:t>Year 1</w:t>
            </w:r>
          </w:p>
          <w:p>
            <w:pPr>
              <w:spacing w:after="0" w:line="240" w:lineRule="auto"/>
              <w:ind w:right="144"/>
              <w:rPr>
                <w:rFonts w:cs="Calibri"/>
                <w:bCs/>
              </w:rPr>
            </w:pPr>
            <w:r>
              <w:rPr>
                <w:rFonts w:cs="Calibri"/>
                <w:bCs/>
              </w:rPr>
              <w:t>Year 2</w:t>
            </w:r>
          </w:p>
          <w:p>
            <w:pPr>
              <w:spacing w:after="0" w:line="240" w:lineRule="auto"/>
              <w:ind w:right="144"/>
              <w:rPr>
                <w:rFonts w:cs="Calibri"/>
                <w:b/>
              </w:rPr>
            </w:pPr>
            <w:r>
              <w:rPr>
                <w:rFonts w:cs="Calibri"/>
                <w:bCs/>
              </w:rPr>
              <w:t>Year 3</w:t>
            </w:r>
          </w:p>
        </w:tc>
      </w:tr>
    </w:tbl>
    <w:p>
      <w:pPr>
        <w:spacing w:after="0" w:line="240" w:lineRule="auto"/>
        <w:ind w:right="144"/>
        <w:rPr>
          <w:rFonts w:cs="Calibri"/>
          <w:b/>
          <w:bCs/>
          <w:iCs/>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shd w:val="clear" w:color="auto" w:fill="C6D9F1"/>
          </w:tcPr>
          <w:p>
            <w:pPr>
              <w:spacing w:after="0" w:line="240" w:lineRule="auto"/>
              <w:ind w:right="144"/>
              <w:rPr>
                <w:rFonts w:cs="Calibri"/>
              </w:rPr>
            </w:pPr>
            <w:r>
              <w:rPr>
                <w:rFonts w:cs="Calibri"/>
                <w:b/>
              </w:rPr>
              <w:t>Collaboration plan</w:t>
            </w:r>
            <w:r>
              <w:rPr>
                <w:rFonts w:cs="Calibri"/>
              </w:rPr>
              <w:t xml:space="preserve"> </w:t>
            </w:r>
            <w:r>
              <w:rPr>
                <w:rFonts w:cs="Calibri"/>
                <w:b/>
              </w:rPr>
              <w:t>with project partners</w:t>
            </w:r>
            <w:r>
              <w:rPr>
                <w:rFonts w:cs="Calibri"/>
              </w:rPr>
              <w:t xml:space="preserve"> [no more than 1000 words]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shd w:val="clear" w:color="auto" w:fill="auto"/>
          </w:tcPr>
          <w:p>
            <w:pPr>
              <w:spacing w:after="0" w:line="240" w:lineRule="auto"/>
              <w:ind w:right="144"/>
              <w:rPr>
                <w:rFonts w:cs="Calibri"/>
                <w:b/>
              </w:rPr>
            </w:pPr>
          </w:p>
        </w:tc>
      </w:tr>
    </w:tbl>
    <w:p>
      <w:pPr>
        <w:spacing w:after="0" w:line="240" w:lineRule="auto"/>
        <w:ind w:right="144"/>
        <w:rPr>
          <w:rFonts w:cs="Calibri"/>
          <w:b/>
          <w:bCs/>
          <w:iCs/>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shd w:val="clear" w:color="auto" w:fill="C6D9F1"/>
          </w:tcPr>
          <w:p>
            <w:pPr>
              <w:spacing w:after="0" w:line="240" w:lineRule="auto"/>
              <w:ind w:right="144"/>
              <w:rPr>
                <w:rFonts w:cs="Calibri"/>
              </w:rPr>
            </w:pPr>
            <w:r>
              <w:rPr>
                <w:rFonts w:cs="Calibri"/>
                <w:b/>
              </w:rPr>
              <w:t xml:space="preserve">Expected outcome and impact, including translational pathways and feasibility for use in low- and middle-income countries </w:t>
            </w:r>
            <w:r>
              <w:rPr>
                <w:rFonts w:cs="Calibri"/>
              </w:rPr>
              <w:t>[no more than 500 words]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shd w:val="clear" w:color="auto" w:fill="auto"/>
          </w:tcPr>
          <w:p>
            <w:pPr>
              <w:spacing w:after="0" w:line="240" w:lineRule="auto"/>
              <w:ind w:right="144"/>
              <w:rPr>
                <w:rFonts w:cs="Calibri"/>
                <w:b/>
              </w:rPr>
            </w:pPr>
          </w:p>
        </w:tc>
      </w:tr>
    </w:tbl>
    <w:p>
      <w:pPr>
        <w:spacing w:after="0" w:line="240" w:lineRule="auto"/>
        <w:ind w:right="144"/>
        <w:rPr>
          <w:rFonts w:cs="Calibri"/>
          <w:b/>
          <w:bCs/>
          <w:iCs/>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4" w:type="dxa"/>
            <w:shd w:val="clear" w:color="auto" w:fill="C6D9F1"/>
          </w:tcPr>
          <w:p>
            <w:pPr>
              <w:spacing w:after="0" w:line="240" w:lineRule="auto"/>
              <w:ind w:right="144"/>
              <w:rPr>
                <w:rFonts w:cs="Calibri"/>
              </w:rPr>
            </w:pPr>
            <w:r>
              <w:rPr>
                <w:rFonts w:cs="Calibri"/>
                <w:b/>
              </w:rPr>
              <w:t xml:space="preserve">Risks and mitigation </w:t>
            </w:r>
            <w:r>
              <w:rPr>
                <w:rFonts w:cs="Calibri"/>
              </w:rPr>
              <w:t>(please describe potential risks/challenges to the success of the project and the plan to address them, including any external factors or critical relationships with other partners/projects that may influence the success of the project) [no more than 200 words]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shd w:val="clear" w:color="auto" w:fill="auto"/>
          </w:tcPr>
          <w:p>
            <w:pPr>
              <w:spacing w:after="0" w:line="240" w:lineRule="auto"/>
              <w:ind w:right="144"/>
              <w:rPr>
                <w:rFonts w:cs="Calibri"/>
                <w:b/>
              </w:rPr>
            </w:pPr>
          </w:p>
        </w:tc>
      </w:tr>
    </w:tbl>
    <w:p>
      <w:pPr>
        <w:spacing w:after="0" w:line="240" w:lineRule="auto"/>
        <w:ind w:right="144"/>
        <w:rPr>
          <w:rFonts w:cs="Calibri"/>
          <w:b/>
        </w:rPr>
      </w:pPr>
    </w:p>
    <w:p>
      <w:pPr>
        <w:spacing w:after="0" w:line="240" w:lineRule="auto"/>
        <w:ind w:right="144"/>
        <w:rPr>
          <w:rFonts w:cs="Calibri"/>
          <w:b/>
        </w:rPr>
      </w:pPr>
      <w:r>
        <w:rPr>
          <w:rFonts w:cs="Calibri"/>
          <w:b/>
        </w:rPr>
        <w:t>RESOURCES</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3"/>
        <w:gridCol w:w="6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shd w:val="clear" w:color="auto" w:fill="C6D9F1"/>
          </w:tcPr>
          <w:p>
            <w:pPr>
              <w:spacing w:after="0" w:line="240" w:lineRule="auto"/>
              <w:ind w:right="144"/>
              <w:rPr>
                <w:rFonts w:cs="Calibri"/>
                <w:b/>
              </w:rPr>
            </w:pPr>
            <w:r>
              <w:rPr>
                <w:rFonts w:cs="Calibri"/>
                <w:b/>
              </w:rPr>
              <w:t>Estimated resources requested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pct"/>
            <w:shd w:val="clear" w:color="auto" w:fill="auto"/>
          </w:tcPr>
          <w:p>
            <w:pPr>
              <w:spacing w:after="0" w:line="240" w:lineRule="auto"/>
              <w:ind w:right="144"/>
              <w:rPr>
                <w:rFonts w:cs="Calibri"/>
              </w:rPr>
            </w:pPr>
            <w:r>
              <w:rPr>
                <w:rFonts w:cs="Calibri"/>
              </w:rPr>
              <w:t>BMGF resources RMB</w:t>
            </w:r>
          </w:p>
        </w:tc>
        <w:tc>
          <w:tcPr>
            <w:tcW w:w="2802" w:type="pct"/>
            <w:shd w:val="clear" w:color="auto" w:fill="auto"/>
          </w:tcPr>
          <w:p>
            <w:pPr>
              <w:spacing w:after="0" w:line="240" w:lineRule="auto"/>
              <w:ind w:right="144"/>
              <w:rPr>
                <w:rFonts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pct"/>
            <w:shd w:val="clear" w:color="auto" w:fill="auto"/>
          </w:tcPr>
          <w:p>
            <w:pPr>
              <w:spacing w:after="0" w:line="240" w:lineRule="auto"/>
              <w:ind w:right="144"/>
              <w:rPr>
                <w:rFonts w:cs="Calibri"/>
              </w:rPr>
            </w:pPr>
            <w:r>
              <w:rPr>
                <w:rFonts w:cs="Calibri"/>
              </w:rPr>
              <w:t>China resources RMB</w:t>
            </w:r>
          </w:p>
        </w:tc>
        <w:tc>
          <w:tcPr>
            <w:tcW w:w="2802" w:type="pct"/>
            <w:shd w:val="clear" w:color="auto" w:fill="auto"/>
          </w:tcPr>
          <w:p>
            <w:pPr>
              <w:spacing w:after="0" w:line="240" w:lineRule="auto"/>
              <w:ind w:right="144"/>
              <w:rPr>
                <w:rFonts w:cs="Calibri"/>
              </w:rPr>
            </w:pPr>
          </w:p>
        </w:tc>
      </w:tr>
    </w:tbl>
    <w:p>
      <w:pPr>
        <w:spacing w:after="0" w:line="240" w:lineRule="auto"/>
        <w:ind w:right="144"/>
        <w:rPr>
          <w:rFonts w:cs="Calibri"/>
          <w:b/>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4"/>
        <w:gridCol w:w="2754"/>
        <w:gridCol w:w="2754"/>
        <w:gridCol w:w="2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9" w:type="pct"/>
            <w:gridSpan w:val="2"/>
            <w:shd w:val="clear" w:color="auto" w:fill="C6D9F1"/>
          </w:tcPr>
          <w:p>
            <w:pPr>
              <w:spacing w:after="0" w:line="240" w:lineRule="auto"/>
              <w:ind w:right="144"/>
              <w:rPr>
                <w:rFonts w:cs="Calibri"/>
                <w:b/>
                <w:lang w:eastAsia="zh-CN"/>
              </w:rPr>
            </w:pPr>
            <w:r>
              <w:rPr>
                <w:rFonts w:hint="eastAsia" w:cs="Calibri"/>
                <w:b/>
                <w:lang w:eastAsia="zh-CN"/>
              </w:rPr>
              <w:t>B</w:t>
            </w:r>
            <w:r>
              <w:rPr>
                <w:rFonts w:cs="Calibri"/>
                <w:b/>
                <w:lang w:eastAsia="zh-CN"/>
              </w:rPr>
              <w:t>MGF (RMB)</w:t>
            </w:r>
          </w:p>
        </w:tc>
        <w:tc>
          <w:tcPr>
            <w:tcW w:w="2501" w:type="pct"/>
            <w:gridSpan w:val="2"/>
            <w:shd w:val="clear" w:color="auto" w:fill="C6D9F1"/>
          </w:tcPr>
          <w:p>
            <w:pPr>
              <w:spacing w:after="0" w:line="240" w:lineRule="auto"/>
              <w:ind w:right="144"/>
              <w:rPr>
                <w:rFonts w:cs="Calibri"/>
                <w:b/>
                <w:lang w:eastAsia="zh-CN"/>
              </w:rPr>
            </w:pPr>
            <w:r>
              <w:rPr>
                <w:rFonts w:hint="eastAsia" w:cs="Calibri"/>
                <w:b/>
                <w:lang w:eastAsia="zh-CN"/>
              </w:rPr>
              <w:t>C</w:t>
            </w:r>
            <w:r>
              <w:rPr>
                <w:rFonts w:cs="Calibri"/>
                <w:b/>
                <w:lang w:eastAsia="zh-CN"/>
              </w:rPr>
              <w:t>hina (RMB)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ind w:right="144"/>
              <w:rPr>
                <w:rFonts w:cs="Calibri"/>
              </w:rPr>
            </w:pPr>
            <w:r>
              <w:rPr>
                <w:rFonts w:cs="Calibri"/>
              </w:rPr>
              <w:t>1</w:t>
            </w:r>
            <w:r>
              <w:rPr>
                <w:rFonts w:cs="Calibri"/>
                <w:vertAlign w:val="superscript"/>
              </w:rPr>
              <w:t>st</w:t>
            </w:r>
            <w:r>
              <w:rPr>
                <w:rFonts w:cs="Calibri"/>
              </w:rPr>
              <w:t xml:space="preserve"> year</w:t>
            </w:r>
          </w:p>
        </w:tc>
        <w:tc>
          <w:tcPr>
            <w:tcW w:w="1250" w:type="pct"/>
            <w:shd w:val="clear" w:color="auto" w:fill="auto"/>
          </w:tcPr>
          <w:p>
            <w:pPr>
              <w:spacing w:after="0" w:line="240" w:lineRule="auto"/>
              <w:ind w:right="144"/>
              <w:rPr>
                <w:rFonts w:cs="Calibri"/>
              </w:rPr>
            </w:pPr>
          </w:p>
        </w:tc>
        <w:tc>
          <w:tcPr>
            <w:tcW w:w="1250" w:type="pct"/>
          </w:tcPr>
          <w:p>
            <w:pPr>
              <w:spacing w:after="0" w:line="240" w:lineRule="auto"/>
              <w:ind w:right="144"/>
              <w:rPr>
                <w:rFonts w:cs="Calibri"/>
              </w:rPr>
            </w:pPr>
            <w:r>
              <w:rPr>
                <w:rFonts w:cs="Calibri"/>
              </w:rPr>
              <w:t>1</w:t>
            </w:r>
            <w:r>
              <w:rPr>
                <w:rFonts w:cs="Calibri"/>
                <w:vertAlign w:val="superscript"/>
              </w:rPr>
              <w:t>st</w:t>
            </w:r>
            <w:r>
              <w:rPr>
                <w:rFonts w:cs="Calibri"/>
              </w:rPr>
              <w:t xml:space="preserve"> year</w:t>
            </w:r>
          </w:p>
        </w:tc>
        <w:tc>
          <w:tcPr>
            <w:tcW w:w="1250" w:type="pct"/>
          </w:tcPr>
          <w:p>
            <w:pPr>
              <w:spacing w:after="0" w:line="240" w:lineRule="auto"/>
              <w:ind w:right="144"/>
              <w:rPr>
                <w:rFonts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ind w:right="144"/>
              <w:rPr>
                <w:rFonts w:cs="Calibri"/>
              </w:rPr>
            </w:pPr>
            <w:r>
              <w:rPr>
                <w:rFonts w:cs="Calibri"/>
              </w:rPr>
              <w:t>2</w:t>
            </w:r>
            <w:r>
              <w:rPr>
                <w:rFonts w:cs="Calibri"/>
                <w:vertAlign w:val="superscript"/>
              </w:rPr>
              <w:t>nd</w:t>
            </w:r>
            <w:r>
              <w:rPr>
                <w:rFonts w:cs="Calibri"/>
              </w:rPr>
              <w:t xml:space="preserve"> year</w:t>
            </w:r>
          </w:p>
        </w:tc>
        <w:tc>
          <w:tcPr>
            <w:tcW w:w="1250" w:type="pct"/>
            <w:shd w:val="clear" w:color="auto" w:fill="auto"/>
          </w:tcPr>
          <w:p>
            <w:pPr>
              <w:spacing w:after="0" w:line="240" w:lineRule="auto"/>
              <w:ind w:right="144"/>
              <w:rPr>
                <w:rFonts w:cs="Calibri"/>
              </w:rPr>
            </w:pPr>
          </w:p>
        </w:tc>
        <w:tc>
          <w:tcPr>
            <w:tcW w:w="1250" w:type="pct"/>
          </w:tcPr>
          <w:p>
            <w:pPr>
              <w:spacing w:after="0" w:line="240" w:lineRule="auto"/>
              <w:ind w:right="144"/>
              <w:rPr>
                <w:rFonts w:cs="Calibri"/>
              </w:rPr>
            </w:pPr>
            <w:r>
              <w:rPr>
                <w:rFonts w:cs="Calibri"/>
              </w:rPr>
              <w:t>2</w:t>
            </w:r>
            <w:r>
              <w:rPr>
                <w:rFonts w:cs="Calibri"/>
                <w:vertAlign w:val="superscript"/>
              </w:rPr>
              <w:t>nd</w:t>
            </w:r>
            <w:r>
              <w:rPr>
                <w:rFonts w:cs="Calibri"/>
              </w:rPr>
              <w:t xml:space="preserve"> year</w:t>
            </w:r>
          </w:p>
        </w:tc>
        <w:tc>
          <w:tcPr>
            <w:tcW w:w="1250" w:type="pct"/>
          </w:tcPr>
          <w:p>
            <w:pPr>
              <w:spacing w:after="0" w:line="240" w:lineRule="auto"/>
              <w:ind w:right="144"/>
              <w:rPr>
                <w:rFonts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ind w:right="144"/>
              <w:rPr>
                <w:rFonts w:cs="Calibri"/>
                <w:lang w:eastAsia="zh-CN"/>
              </w:rPr>
            </w:pPr>
            <w:r>
              <w:rPr>
                <w:rFonts w:hint="eastAsia" w:cs="Calibri"/>
                <w:lang w:eastAsia="zh-CN"/>
              </w:rPr>
              <w:t>3</w:t>
            </w:r>
            <w:r>
              <w:rPr>
                <w:rFonts w:cs="Calibri"/>
                <w:vertAlign w:val="superscript"/>
                <w:lang w:eastAsia="zh-CN"/>
              </w:rPr>
              <w:t>rd</w:t>
            </w:r>
            <w:r>
              <w:rPr>
                <w:rFonts w:cs="Calibri"/>
                <w:lang w:eastAsia="zh-CN"/>
              </w:rPr>
              <w:t xml:space="preserve"> year</w:t>
            </w:r>
          </w:p>
        </w:tc>
        <w:tc>
          <w:tcPr>
            <w:tcW w:w="1250" w:type="pct"/>
            <w:shd w:val="clear" w:color="auto" w:fill="auto"/>
          </w:tcPr>
          <w:p>
            <w:pPr>
              <w:spacing w:after="0" w:line="240" w:lineRule="auto"/>
              <w:ind w:right="144"/>
              <w:rPr>
                <w:rFonts w:cs="Calibri"/>
              </w:rPr>
            </w:pPr>
          </w:p>
        </w:tc>
        <w:tc>
          <w:tcPr>
            <w:tcW w:w="1250" w:type="pct"/>
          </w:tcPr>
          <w:p>
            <w:pPr>
              <w:spacing w:after="0" w:line="240" w:lineRule="auto"/>
              <w:ind w:right="144"/>
              <w:rPr>
                <w:rFonts w:cs="Calibri"/>
              </w:rPr>
            </w:pPr>
            <w:r>
              <w:rPr>
                <w:rFonts w:hint="eastAsia" w:cs="Calibri"/>
                <w:lang w:eastAsia="zh-CN"/>
              </w:rPr>
              <w:t>3</w:t>
            </w:r>
            <w:r>
              <w:rPr>
                <w:rFonts w:cs="Calibri"/>
                <w:vertAlign w:val="superscript"/>
                <w:lang w:eastAsia="zh-CN"/>
              </w:rPr>
              <w:t>rd</w:t>
            </w:r>
            <w:r>
              <w:rPr>
                <w:rFonts w:cs="Calibri"/>
                <w:lang w:eastAsia="zh-CN"/>
              </w:rPr>
              <w:t xml:space="preserve"> year</w:t>
            </w:r>
          </w:p>
        </w:tc>
        <w:tc>
          <w:tcPr>
            <w:tcW w:w="1250" w:type="pct"/>
          </w:tcPr>
          <w:p>
            <w:pPr>
              <w:spacing w:after="0" w:line="240" w:lineRule="auto"/>
              <w:ind w:right="144"/>
              <w:rPr>
                <w:rFonts w:cs="Calibri"/>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shd w:val="clear" w:color="auto" w:fill="auto"/>
          </w:tcPr>
          <w:p>
            <w:pPr>
              <w:spacing w:after="0" w:line="240" w:lineRule="auto"/>
              <w:ind w:right="144"/>
              <w:rPr>
                <w:rFonts w:cs="Calibri"/>
                <w:lang w:eastAsia="zh-CN"/>
              </w:rPr>
            </w:pPr>
            <w:r>
              <w:rPr>
                <w:rFonts w:hint="eastAsia" w:cs="Calibri"/>
                <w:lang w:eastAsia="zh-CN"/>
              </w:rPr>
              <w:t>T</w:t>
            </w:r>
            <w:r>
              <w:rPr>
                <w:rFonts w:cs="Calibri"/>
                <w:lang w:eastAsia="zh-CN"/>
              </w:rPr>
              <w:t>otal</w:t>
            </w:r>
          </w:p>
        </w:tc>
        <w:tc>
          <w:tcPr>
            <w:tcW w:w="1250" w:type="pct"/>
            <w:shd w:val="clear" w:color="auto" w:fill="auto"/>
          </w:tcPr>
          <w:p>
            <w:pPr>
              <w:spacing w:after="0" w:line="240" w:lineRule="auto"/>
              <w:ind w:right="144"/>
              <w:rPr>
                <w:rFonts w:cs="Calibri"/>
              </w:rPr>
            </w:pPr>
          </w:p>
        </w:tc>
        <w:tc>
          <w:tcPr>
            <w:tcW w:w="1250" w:type="pct"/>
          </w:tcPr>
          <w:p>
            <w:pPr>
              <w:spacing w:after="0" w:line="240" w:lineRule="auto"/>
              <w:ind w:right="144"/>
              <w:rPr>
                <w:rFonts w:cs="Calibri"/>
              </w:rPr>
            </w:pPr>
            <w:r>
              <w:rPr>
                <w:rFonts w:hint="eastAsia" w:cs="Calibri"/>
                <w:lang w:eastAsia="zh-CN"/>
              </w:rPr>
              <w:t>T</w:t>
            </w:r>
            <w:r>
              <w:rPr>
                <w:rFonts w:cs="Calibri"/>
                <w:lang w:eastAsia="zh-CN"/>
              </w:rPr>
              <w:t>otal</w:t>
            </w:r>
          </w:p>
        </w:tc>
        <w:tc>
          <w:tcPr>
            <w:tcW w:w="1250" w:type="pct"/>
          </w:tcPr>
          <w:p>
            <w:pPr>
              <w:spacing w:after="0" w:line="240" w:lineRule="auto"/>
              <w:ind w:right="144"/>
              <w:rPr>
                <w:rFonts w:cs="Calibri"/>
              </w:rPr>
            </w:pPr>
          </w:p>
        </w:tc>
      </w:tr>
    </w:tbl>
    <w:p>
      <w:pPr>
        <w:spacing w:after="0" w:line="240" w:lineRule="auto"/>
        <w:ind w:right="144"/>
        <w:textAlignment w:val="baseline"/>
        <w:rPr>
          <w:rFonts w:eastAsia="Times New Roman" w:cstheme="minorHAnsi"/>
          <w:i/>
          <w:iCs/>
          <w:color w:val="323E4F"/>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0" w:type="dxa"/>
        </w:trPr>
        <w:tc>
          <w:tcPr>
            <w:tcW w:w="10790" w:type="dxa"/>
            <w:tcBorders>
              <w:top w:val="single" w:color="auto" w:sz="4" w:space="0"/>
              <w:left w:val="nil"/>
              <w:bottom w:val="single" w:color="auto" w:sz="4" w:space="0"/>
              <w:right w:val="nil"/>
            </w:tcBorders>
          </w:tcPr>
          <w:p>
            <w:pPr>
              <w:spacing w:after="0" w:line="240" w:lineRule="auto"/>
              <w:ind w:left="-72" w:right="144"/>
              <w:rPr>
                <w:rFonts w:cstheme="minorHAnsi"/>
                <w:b/>
                <w:bCs/>
              </w:rPr>
            </w:pPr>
            <w:r>
              <w:rPr>
                <w:rFonts w:cstheme="minorHAnsi"/>
                <w:b/>
                <w:bCs/>
              </w:rPr>
              <w:t>SECTION B – INVESTMENT DETAILS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0" w:hRule="atLeast"/>
        </w:trPr>
        <w:tc>
          <w:tcPr>
            <w:tcW w:w="10800" w:type="dxa"/>
            <w:gridSpan w:val="2"/>
            <w:tcBorders>
              <w:top w:val="nil"/>
              <w:left w:val="nil"/>
              <w:bottom w:val="nil"/>
              <w:right w:val="nil"/>
            </w:tcBorders>
            <w:shd w:val="clear" w:color="auto" w:fill="D0CECE" w:themeFill="background2" w:themeFillShade="E6"/>
            <w:vAlign w:val="center"/>
          </w:tcPr>
          <w:p>
            <w:pPr>
              <w:keepNext/>
              <w:spacing w:after="0" w:line="240" w:lineRule="auto"/>
              <w:ind w:right="144"/>
              <w:rPr>
                <w:rFonts w:cstheme="minorHAnsi"/>
                <w:bCs/>
                <w:i/>
              </w:rPr>
            </w:pPr>
            <w:r>
              <w:rPr>
                <w:rFonts w:eastAsia="Arial,Times New Roman" w:cstheme="minorHAnsi"/>
                <w:b/>
                <w:bCs/>
              </w:rPr>
              <w:t>General Information - Chinese Investigator to Complete</w:t>
            </w:r>
          </w:p>
        </w:tc>
      </w:tr>
    </w:tbl>
    <w:tbl>
      <w:tblPr>
        <w:tblStyle w:val="11"/>
        <w:tblW w:w="10800" w:type="dxa"/>
        <w:tblInd w:w="-3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Layout w:type="fixed"/>
        <w:tblCellMar>
          <w:top w:w="0" w:type="dxa"/>
          <w:left w:w="144" w:type="dxa"/>
          <w:bottom w:w="0" w:type="dxa"/>
          <w:right w:w="144" w:type="dxa"/>
        </w:tblCellMar>
      </w:tblPr>
      <w:tblGrid>
        <w:gridCol w:w="2700"/>
        <w:gridCol w:w="2790"/>
        <w:gridCol w:w="2250"/>
        <w:gridCol w:w="3060"/>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auto"/>
          </w:tcPr>
          <w:p>
            <w:pPr>
              <w:spacing w:after="0" w:line="240" w:lineRule="auto"/>
              <w:ind w:right="144"/>
              <w:rPr>
                <w:rFonts w:eastAsia="Arial,Times New Roman" w:cstheme="minorHAnsi"/>
                <w:b/>
                <w:bCs/>
              </w:rPr>
            </w:pPr>
            <w:r>
              <w:rPr>
                <w:rFonts w:eastAsia="Arial,Times New Roman" w:cstheme="minorHAnsi"/>
                <w:b/>
                <w:bCs/>
              </w:rPr>
              <w:t>Estimated Start Date</w:t>
            </w:r>
          </w:p>
        </w:tc>
        <w:tc>
          <w:tcPr>
            <w:tcW w:w="2790" w:type="dxa"/>
            <w:shd w:val="clear" w:color="auto" w:fill="E7E6E6" w:themeFill="background2"/>
            <w:vAlign w:val="center"/>
          </w:tcPr>
          <w:p>
            <w:pPr>
              <w:spacing w:after="0" w:line="240" w:lineRule="auto"/>
              <w:ind w:right="144"/>
              <w:rPr>
                <w:rFonts w:cstheme="minorHAnsi"/>
                <w:bCs/>
                <w:lang w:eastAsia="zh-CN"/>
              </w:rPr>
            </w:pPr>
          </w:p>
        </w:tc>
        <w:tc>
          <w:tcPr>
            <w:tcW w:w="2250" w:type="dxa"/>
            <w:shd w:val="clear" w:color="auto" w:fill="auto"/>
          </w:tcPr>
          <w:p>
            <w:pPr>
              <w:spacing w:after="0" w:line="240" w:lineRule="auto"/>
              <w:ind w:left="14" w:right="144"/>
              <w:rPr>
                <w:rFonts w:eastAsia="Arial,Times New Roman" w:cstheme="minorHAnsi"/>
                <w:b/>
                <w:bCs/>
              </w:rPr>
            </w:pPr>
            <w:r>
              <w:rPr>
                <w:rFonts w:eastAsia="Arial,Times New Roman" w:cstheme="minorHAnsi"/>
                <w:b/>
                <w:bCs/>
              </w:rPr>
              <w:t>End Date</w:t>
            </w:r>
          </w:p>
        </w:tc>
        <w:tc>
          <w:tcPr>
            <w:tcW w:w="3060" w:type="dxa"/>
            <w:shd w:val="clear" w:color="auto" w:fill="E7E6E6" w:themeFill="background2"/>
            <w:vAlign w:val="center"/>
          </w:tcPr>
          <w:p>
            <w:pPr>
              <w:spacing w:after="0" w:line="240" w:lineRule="auto"/>
              <w:ind w:right="144"/>
              <w:rPr>
                <w:rFonts w:cstheme="minorHAnsi"/>
                <w:bCs/>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auto"/>
          </w:tcPr>
          <w:p>
            <w:pPr>
              <w:spacing w:after="0" w:line="240" w:lineRule="auto"/>
              <w:ind w:right="144"/>
              <w:rPr>
                <w:rFonts w:eastAsia="Times New Roman" w:cstheme="minorHAnsi"/>
                <w:b/>
                <w:bCs/>
              </w:rPr>
            </w:pPr>
            <w:r>
              <w:rPr>
                <w:rFonts w:eastAsia="Arial,Times New Roman" w:cstheme="minorHAnsi"/>
                <w:b/>
                <w:bCs/>
              </w:rPr>
              <w:t xml:space="preserve">Requested Amount (RMB Yuan </w:t>
            </w:r>
            <w:r>
              <w:rPr>
                <w:rFonts w:hint="eastAsia" w:ascii="宋体" w:hAnsi="宋体" w:eastAsia="宋体" w:cs="宋体"/>
                <w:b/>
                <w:bCs/>
                <w:lang w:eastAsia="zh-CN"/>
              </w:rPr>
              <w:t>￥</w:t>
            </w:r>
            <w:r>
              <w:rPr>
                <w:rFonts w:eastAsia="Arial,Times New Roman" w:cstheme="minorHAnsi"/>
                <w:b/>
                <w:bCs/>
              </w:rPr>
              <w:t>)</w:t>
            </w:r>
          </w:p>
        </w:tc>
        <w:tc>
          <w:tcPr>
            <w:tcW w:w="2790" w:type="dxa"/>
            <w:shd w:val="clear" w:color="auto" w:fill="E7E6E6" w:themeFill="background2"/>
            <w:vAlign w:val="center"/>
          </w:tcPr>
          <w:p>
            <w:pPr>
              <w:spacing w:after="0" w:line="240" w:lineRule="auto"/>
              <w:ind w:right="144"/>
              <w:rPr>
                <w:rFonts w:eastAsia="宋体" w:cstheme="minorHAnsi"/>
                <w:lang w:eastAsia="zh-CN"/>
              </w:rPr>
            </w:pPr>
          </w:p>
        </w:tc>
        <w:tc>
          <w:tcPr>
            <w:tcW w:w="2250" w:type="dxa"/>
            <w:shd w:val="clear" w:color="auto" w:fill="auto"/>
          </w:tcPr>
          <w:p>
            <w:pPr>
              <w:spacing w:after="0" w:line="240" w:lineRule="auto"/>
              <w:ind w:left="14" w:right="144"/>
              <w:rPr>
                <w:rFonts w:eastAsia="Times New Roman" w:cstheme="minorHAnsi"/>
                <w:b/>
                <w:bCs/>
              </w:rPr>
            </w:pPr>
            <w:r>
              <w:rPr>
                <w:rFonts w:eastAsia="Arial,Times New Roman" w:cstheme="minorHAnsi"/>
                <w:b/>
                <w:bCs/>
              </w:rPr>
              <w:t xml:space="preserve">Total Project Cost </w:t>
            </w:r>
            <w:r>
              <w:rPr>
                <w:rFonts w:hint="eastAsia" w:eastAsia="Arial,Times New Roman" w:cstheme="minorHAnsi"/>
                <w:b/>
                <w:bCs/>
              </w:rPr>
              <w:t xml:space="preserve">(RMB Yuan </w:t>
            </w:r>
            <w:r>
              <w:rPr>
                <w:rFonts w:hint="eastAsia" w:ascii="宋体" w:hAnsi="宋体" w:eastAsia="宋体" w:cs="宋体"/>
                <w:b/>
                <w:bCs/>
              </w:rPr>
              <w:t>￥</w:t>
            </w:r>
            <w:r>
              <w:rPr>
                <w:rFonts w:hint="eastAsia" w:eastAsia="Arial,Times New Roman" w:cstheme="minorHAnsi"/>
                <w:b/>
                <w:bCs/>
              </w:rPr>
              <w:t>)</w:t>
            </w:r>
          </w:p>
        </w:tc>
        <w:tc>
          <w:tcPr>
            <w:tcW w:w="3060" w:type="dxa"/>
            <w:shd w:val="clear" w:color="auto" w:fill="E7E6E6" w:themeFill="background2"/>
            <w:vAlign w:val="center"/>
          </w:tcPr>
          <w:p>
            <w:pPr>
              <w:spacing w:after="0" w:line="240" w:lineRule="auto"/>
              <w:ind w:right="144"/>
              <w:rPr>
                <w:rFonts w:eastAsia="宋体" w:cstheme="minorHAnsi"/>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FFFFFF" w:themeFill="background1"/>
            <w:vAlign w:val="center"/>
          </w:tcPr>
          <w:p>
            <w:pPr>
              <w:spacing w:after="0" w:line="240" w:lineRule="auto"/>
              <w:ind w:left="14" w:right="144"/>
              <w:rPr>
                <w:rFonts w:eastAsia="Times New Roman" w:cstheme="minorHAnsi"/>
                <w:b/>
                <w:bCs/>
              </w:rPr>
            </w:pPr>
            <w:r>
              <w:rPr>
                <w:rFonts w:eastAsia="Arial,Times New Roman" w:cstheme="minorHAnsi"/>
                <w:b/>
                <w:bCs/>
              </w:rPr>
              <w:t>Organization Legal Name</w:t>
            </w:r>
            <w:r>
              <w:rPr>
                <w:rFonts w:eastAsia="Arial,Times New Roman" w:cstheme="minorHAnsi"/>
                <w:b/>
                <w:bCs/>
                <w:vertAlign w:val="superscript"/>
              </w:rPr>
              <w:t>1</w:t>
            </w:r>
          </w:p>
        </w:tc>
        <w:tc>
          <w:tcPr>
            <w:tcW w:w="8100" w:type="dxa"/>
            <w:gridSpan w:val="3"/>
            <w:shd w:val="clear" w:color="auto" w:fill="E7E6E6" w:themeFill="background2"/>
            <w:vAlign w:val="center"/>
          </w:tcPr>
          <w:p>
            <w:pPr>
              <w:spacing w:after="0" w:line="240" w:lineRule="auto"/>
              <w:ind w:right="144"/>
              <w:rPr>
                <w:rFonts w:eastAsia="Times New Roman" w:cstheme="minorHAnsi"/>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FFFFFF" w:themeFill="background1"/>
          </w:tcPr>
          <w:p>
            <w:pPr>
              <w:spacing w:after="0" w:line="240" w:lineRule="auto"/>
              <w:ind w:left="14" w:right="144"/>
              <w:rPr>
                <w:rFonts w:eastAsia="Times New Roman" w:cstheme="minorHAnsi"/>
                <w:b/>
                <w:bCs/>
              </w:rPr>
            </w:pPr>
            <w:r>
              <w:rPr>
                <w:rFonts w:eastAsia="Arial,Times New Roman" w:cstheme="minorHAnsi"/>
                <w:b/>
                <w:bCs/>
              </w:rPr>
              <w:t>Mailing Address</w:t>
            </w:r>
          </w:p>
        </w:tc>
        <w:tc>
          <w:tcPr>
            <w:tcW w:w="2790" w:type="dxa"/>
            <w:shd w:val="clear" w:color="auto" w:fill="auto"/>
            <w:vAlign w:val="center"/>
          </w:tcPr>
          <w:p>
            <w:pPr>
              <w:spacing w:after="0" w:line="240" w:lineRule="auto"/>
              <w:ind w:right="144"/>
              <w:rPr>
                <w:rFonts w:eastAsia="Times New Roman" w:cstheme="minorHAnsi"/>
              </w:rPr>
            </w:pPr>
          </w:p>
        </w:tc>
        <w:tc>
          <w:tcPr>
            <w:tcW w:w="2250" w:type="dxa"/>
            <w:shd w:val="clear" w:color="auto" w:fill="FFFFFF" w:themeFill="background1"/>
          </w:tcPr>
          <w:p>
            <w:pPr>
              <w:spacing w:after="0" w:line="240" w:lineRule="auto"/>
              <w:ind w:left="14" w:right="144"/>
              <w:rPr>
                <w:rFonts w:eastAsia="Times New Roman" w:cstheme="minorHAnsi"/>
                <w:b/>
                <w:bCs/>
              </w:rPr>
            </w:pPr>
            <w:r>
              <w:rPr>
                <w:rFonts w:eastAsia="Arial,Times New Roman" w:cstheme="minorHAnsi"/>
                <w:b/>
                <w:bCs/>
              </w:rPr>
              <w:t>Primary Contact Name</w:t>
            </w:r>
          </w:p>
        </w:tc>
        <w:tc>
          <w:tcPr>
            <w:tcW w:w="3060" w:type="dxa"/>
            <w:shd w:val="clear" w:color="auto" w:fill="E7E6E6" w:themeFill="background2"/>
            <w:vAlign w:val="center"/>
          </w:tcPr>
          <w:p>
            <w:pPr>
              <w:spacing w:after="0" w:line="240" w:lineRule="auto"/>
              <w:ind w:right="144"/>
              <w:rPr>
                <w:rFonts w:eastAsia="宋体" w:cstheme="minorHAnsi"/>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FFFFFF" w:themeFill="background1"/>
          </w:tcPr>
          <w:p>
            <w:pPr>
              <w:spacing w:after="0" w:line="240" w:lineRule="auto"/>
              <w:ind w:left="14" w:right="144"/>
              <w:rPr>
                <w:rFonts w:eastAsia="Times New Roman" w:cstheme="minorHAnsi"/>
                <w:bCs/>
              </w:rPr>
            </w:pPr>
            <w:r>
              <w:rPr>
                <w:rFonts w:eastAsia="Arial,Times New Roman" w:cstheme="minorHAnsi"/>
              </w:rPr>
              <w:t xml:space="preserve">   Street Address 1</w:t>
            </w:r>
          </w:p>
        </w:tc>
        <w:tc>
          <w:tcPr>
            <w:tcW w:w="2790" w:type="dxa"/>
            <w:shd w:val="clear" w:color="auto" w:fill="E7E6E6" w:themeFill="background2"/>
            <w:vAlign w:val="center"/>
          </w:tcPr>
          <w:p>
            <w:pPr>
              <w:spacing w:after="0" w:line="240" w:lineRule="auto"/>
              <w:ind w:right="144"/>
              <w:rPr>
                <w:rFonts w:eastAsia="宋体" w:cstheme="minorHAnsi"/>
                <w:lang w:eastAsia="zh-CN"/>
              </w:rPr>
            </w:pPr>
          </w:p>
        </w:tc>
        <w:tc>
          <w:tcPr>
            <w:tcW w:w="2250" w:type="dxa"/>
            <w:shd w:val="clear" w:color="auto" w:fill="FFFFFF" w:themeFill="background1"/>
          </w:tcPr>
          <w:p>
            <w:pPr>
              <w:spacing w:after="0" w:line="240" w:lineRule="auto"/>
              <w:ind w:left="14" w:right="144"/>
              <w:rPr>
                <w:rFonts w:eastAsia="Times New Roman" w:cstheme="minorHAnsi"/>
                <w:b/>
                <w:bCs/>
              </w:rPr>
            </w:pPr>
            <w:r>
              <w:rPr>
                <w:rFonts w:eastAsia="Arial,Times New Roman" w:cstheme="minorHAnsi"/>
                <w:b/>
                <w:bCs/>
              </w:rPr>
              <w:t>Primary Contact Title</w:t>
            </w:r>
          </w:p>
        </w:tc>
        <w:tc>
          <w:tcPr>
            <w:tcW w:w="3060" w:type="dxa"/>
            <w:shd w:val="clear" w:color="auto" w:fill="E7E6E6" w:themeFill="background2"/>
            <w:vAlign w:val="center"/>
          </w:tcPr>
          <w:p>
            <w:pPr>
              <w:spacing w:after="0" w:line="240" w:lineRule="auto"/>
              <w:ind w:right="144"/>
              <w:rPr>
                <w:rFonts w:eastAsia="宋体" w:cstheme="minorHAnsi"/>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FFFFFF" w:themeFill="background1"/>
          </w:tcPr>
          <w:p>
            <w:pPr>
              <w:spacing w:after="0" w:line="240" w:lineRule="auto"/>
              <w:ind w:left="14" w:right="144"/>
              <w:rPr>
                <w:rFonts w:eastAsia="Times New Roman" w:cstheme="minorHAnsi"/>
                <w:bCs/>
              </w:rPr>
            </w:pPr>
            <w:r>
              <w:rPr>
                <w:rFonts w:eastAsia="Arial,Times New Roman" w:cstheme="minorHAnsi"/>
              </w:rPr>
              <w:t xml:space="preserve">   City</w:t>
            </w:r>
          </w:p>
        </w:tc>
        <w:tc>
          <w:tcPr>
            <w:tcW w:w="2790" w:type="dxa"/>
            <w:shd w:val="clear" w:color="auto" w:fill="E7E6E6" w:themeFill="background2"/>
            <w:vAlign w:val="center"/>
          </w:tcPr>
          <w:p>
            <w:pPr>
              <w:spacing w:after="0" w:line="240" w:lineRule="auto"/>
              <w:ind w:right="144"/>
              <w:rPr>
                <w:rFonts w:eastAsia="宋体" w:cstheme="minorHAnsi"/>
                <w:lang w:eastAsia="zh-CN"/>
              </w:rPr>
            </w:pPr>
          </w:p>
        </w:tc>
        <w:tc>
          <w:tcPr>
            <w:tcW w:w="2250" w:type="dxa"/>
            <w:shd w:val="clear" w:color="auto" w:fill="FFFFFF" w:themeFill="background1"/>
          </w:tcPr>
          <w:p>
            <w:pPr>
              <w:spacing w:after="0" w:line="240" w:lineRule="auto"/>
              <w:ind w:left="14" w:right="144"/>
              <w:rPr>
                <w:rFonts w:eastAsia="Times New Roman" w:cstheme="minorHAnsi"/>
                <w:b/>
                <w:bCs/>
              </w:rPr>
            </w:pPr>
          </w:p>
        </w:tc>
        <w:tc>
          <w:tcPr>
            <w:tcW w:w="3060" w:type="dxa"/>
            <w:shd w:val="clear" w:color="auto" w:fill="E7E6E6" w:themeFill="background2"/>
            <w:vAlign w:val="center"/>
          </w:tcPr>
          <w:p>
            <w:pPr>
              <w:spacing w:after="0" w:line="240" w:lineRule="auto"/>
              <w:ind w:right="144"/>
              <w:rPr>
                <w:rFonts w:eastAsia="宋体" w:cstheme="minorHAnsi"/>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245" w:hRule="atLeast"/>
        </w:trPr>
        <w:tc>
          <w:tcPr>
            <w:tcW w:w="2700" w:type="dxa"/>
            <w:shd w:val="clear" w:color="auto" w:fill="FFFFFF" w:themeFill="background1"/>
          </w:tcPr>
          <w:p>
            <w:pPr>
              <w:spacing w:after="0" w:line="240" w:lineRule="auto"/>
              <w:ind w:left="14" w:right="144"/>
              <w:rPr>
                <w:rFonts w:eastAsia="Times New Roman" w:cstheme="minorHAnsi"/>
                <w:bCs/>
              </w:rPr>
            </w:pPr>
            <w:r>
              <w:rPr>
                <w:rFonts w:eastAsia="Arial,Times New Roman" w:cstheme="minorHAnsi"/>
              </w:rPr>
              <w:t xml:space="preserve">   State / Province</w:t>
            </w:r>
          </w:p>
        </w:tc>
        <w:tc>
          <w:tcPr>
            <w:tcW w:w="2790" w:type="dxa"/>
            <w:shd w:val="clear" w:color="auto" w:fill="E7E6E6" w:themeFill="background2"/>
            <w:vAlign w:val="center"/>
          </w:tcPr>
          <w:p>
            <w:pPr>
              <w:spacing w:after="0" w:line="240" w:lineRule="auto"/>
              <w:ind w:right="144"/>
              <w:rPr>
                <w:rFonts w:eastAsia="宋体" w:cstheme="minorHAnsi"/>
                <w:lang w:eastAsia="zh-CN"/>
              </w:rPr>
            </w:pPr>
          </w:p>
        </w:tc>
        <w:tc>
          <w:tcPr>
            <w:tcW w:w="2250" w:type="dxa"/>
            <w:shd w:val="clear" w:color="auto" w:fill="FFFFFF" w:themeFill="background1"/>
          </w:tcPr>
          <w:p>
            <w:pPr>
              <w:spacing w:after="0" w:line="240" w:lineRule="auto"/>
              <w:ind w:left="14" w:right="144"/>
              <w:rPr>
                <w:rFonts w:eastAsia="Times New Roman" w:cstheme="minorHAnsi"/>
                <w:b/>
                <w:bCs/>
              </w:rPr>
            </w:pPr>
          </w:p>
        </w:tc>
        <w:tc>
          <w:tcPr>
            <w:tcW w:w="3060" w:type="dxa"/>
            <w:shd w:val="clear" w:color="auto" w:fill="E7E6E6" w:themeFill="background2"/>
            <w:vAlign w:val="center"/>
          </w:tcPr>
          <w:p>
            <w:pPr>
              <w:spacing w:after="0" w:line="240" w:lineRule="auto"/>
              <w:ind w:right="144"/>
              <w:rPr>
                <w:rFonts w:eastAsia="宋体" w:cstheme="minorHAnsi"/>
                <w:lang w:eastAsia="zh-CN"/>
              </w:rPr>
            </w:pP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shd w:val="clear" w:color="auto" w:fill="F2EDDE"/>
          <w:tblCellMar>
            <w:top w:w="0" w:type="dxa"/>
            <w:left w:w="144" w:type="dxa"/>
            <w:bottom w:w="0" w:type="dxa"/>
            <w:right w:w="144" w:type="dxa"/>
          </w:tblCellMar>
        </w:tblPrEx>
        <w:trPr>
          <w:trHeight w:val="318" w:hRule="atLeast"/>
        </w:trPr>
        <w:tc>
          <w:tcPr>
            <w:tcW w:w="2700" w:type="dxa"/>
            <w:shd w:val="clear" w:color="auto" w:fill="FFFFFF" w:themeFill="background1"/>
          </w:tcPr>
          <w:p>
            <w:pPr>
              <w:spacing w:after="0" w:line="240" w:lineRule="auto"/>
              <w:ind w:left="14" w:right="144"/>
              <w:rPr>
                <w:rFonts w:eastAsia="Times New Roman" w:cstheme="minorHAnsi"/>
                <w:bCs/>
              </w:rPr>
            </w:pPr>
            <w:r>
              <w:rPr>
                <w:rFonts w:eastAsia="Arial,Times New Roman" w:cstheme="minorHAnsi"/>
                <w:b/>
                <w:bCs/>
              </w:rPr>
              <w:t xml:space="preserve">Website </w:t>
            </w:r>
            <w:r>
              <w:rPr>
                <w:rFonts w:eastAsia="Arial,Times New Roman" w:cstheme="minorHAnsi"/>
              </w:rPr>
              <w:t>(if applicable)</w:t>
            </w:r>
          </w:p>
        </w:tc>
        <w:tc>
          <w:tcPr>
            <w:tcW w:w="2790" w:type="dxa"/>
            <w:shd w:val="clear" w:color="auto" w:fill="E7E6E6" w:themeFill="background2"/>
            <w:vAlign w:val="center"/>
          </w:tcPr>
          <w:p>
            <w:pPr>
              <w:spacing w:after="0" w:line="240" w:lineRule="auto"/>
              <w:ind w:right="144"/>
              <w:rPr>
                <w:rFonts w:eastAsia="Times New Roman" w:cstheme="minorHAnsi"/>
              </w:rPr>
            </w:pPr>
          </w:p>
        </w:tc>
        <w:tc>
          <w:tcPr>
            <w:tcW w:w="2250" w:type="dxa"/>
            <w:shd w:val="clear" w:color="auto" w:fill="FFFFFF" w:themeFill="background1"/>
          </w:tcPr>
          <w:p>
            <w:pPr>
              <w:spacing w:after="0" w:line="240" w:lineRule="auto"/>
              <w:ind w:left="14" w:right="144"/>
              <w:rPr>
                <w:rFonts w:eastAsia="Times New Roman" w:cstheme="minorHAnsi"/>
                <w:b/>
                <w:bCs/>
              </w:rPr>
            </w:pPr>
          </w:p>
        </w:tc>
        <w:tc>
          <w:tcPr>
            <w:tcW w:w="3060" w:type="dxa"/>
            <w:shd w:val="clear" w:color="auto" w:fill="E7E6E6" w:themeFill="background2"/>
            <w:vAlign w:val="center"/>
          </w:tcPr>
          <w:p>
            <w:pPr>
              <w:spacing w:after="0" w:line="240" w:lineRule="auto"/>
              <w:ind w:right="144"/>
              <w:rPr>
                <w:rFonts w:eastAsia="Times New Roman" w:cstheme="minorHAnsi"/>
              </w:rPr>
            </w:pPr>
          </w:p>
        </w:tc>
      </w:tr>
    </w:tbl>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Project Overview – Chinese Investigator to Complete</w:t>
            </w:r>
          </w:p>
        </w:tc>
      </w:tr>
    </w:tbl>
    <w:p>
      <w:pPr>
        <w:pStyle w:val="26"/>
        <w:spacing w:before="0" w:beforeAutospacing="0" w:after="0" w:afterAutospacing="0"/>
        <w:ind w:left="450" w:right="144" w:hanging="450"/>
        <w:textAlignment w:val="baseline"/>
        <w:rPr>
          <w:rFonts w:asciiTheme="minorHAnsi" w:hAnsiTheme="minorHAnsi" w:cstheme="minorHAnsi"/>
          <w:sz w:val="22"/>
          <w:szCs w:val="22"/>
        </w:rPr>
      </w:pPr>
      <w:r>
        <w:rPr>
          <w:rStyle w:val="27"/>
          <w:rFonts w:asciiTheme="minorHAnsi" w:hAnsiTheme="minorHAnsi" w:cstheme="minorHAnsi"/>
          <w:b/>
          <w:bCs/>
          <w:sz w:val="22"/>
          <w:szCs w:val="22"/>
        </w:rPr>
        <w:t>Please provide or expand upon the information provided in the narrative space below:</w:t>
      </w:r>
      <w:r>
        <w:rPr>
          <w:rStyle w:val="28"/>
          <w:rFonts w:asciiTheme="minorHAnsi" w:hAnsiTheme="minorHAnsi" w:cstheme="minorHAnsi"/>
          <w:sz w:val="22"/>
          <w:szCs w:val="22"/>
        </w:rPr>
        <w:t> </w:t>
      </w:r>
    </w:p>
    <w:p>
      <w:pPr>
        <w:pStyle w:val="19"/>
        <w:numPr>
          <w:ilvl w:val="0"/>
          <w:numId w:val="2"/>
        </w:numPr>
        <w:spacing w:after="0" w:line="240" w:lineRule="auto"/>
        <w:ind w:right="144" w:hanging="180"/>
        <w:rPr>
          <w:rFonts w:eastAsia="Arial" w:cstheme="minorHAnsi"/>
          <w:b/>
          <w:bCs/>
        </w:rPr>
      </w:pPr>
      <w:r>
        <w:rPr>
          <w:rFonts w:eastAsia="Arial" w:cstheme="minorHAnsi"/>
          <w:b/>
        </w:rPr>
        <w:t>What is the primary outcome(s) or result(s) this investment will achieve or significantly contribute to? How will You know when that result(s) has been achieved (how will the result be measured)? If sustainability is a component of proposed outcomes, please describe the vision of long-term sustainability of this Project. Consider the economic/financial, organizational or behavioral factors to sustain outcomes beyond this project’s time frame and funding.</w:t>
      </w:r>
      <w:r>
        <w:rPr>
          <w:rFonts w:eastAsia="Arial" w:cstheme="minorHAnsi"/>
          <w:b/>
          <w:bCs/>
        </w:rPr>
        <w:t> </w:t>
      </w:r>
    </w:p>
    <w:p>
      <w:pPr>
        <w:pStyle w:val="19"/>
        <w:numPr>
          <w:ilvl w:val="0"/>
          <w:numId w:val="2"/>
        </w:numPr>
        <w:spacing w:after="0" w:line="240" w:lineRule="auto"/>
        <w:ind w:right="144" w:hanging="180"/>
        <w:rPr>
          <w:rFonts w:eastAsia="Arial" w:cstheme="minorHAnsi"/>
          <w:b/>
          <w:bCs/>
        </w:rPr>
      </w:pPr>
      <w:r>
        <w:rPr>
          <w:rFonts w:eastAsia="Arial" w:cstheme="minorHAnsi"/>
          <w:b/>
        </w:rPr>
        <w:t>Describe the approach You will take to achieve the intended results of this Project: a) Overall Scope of Work b) Timing and/or phases, and c) Narrative of resource needs to support the budget (ex: people, capabilities, technical expertise, experience, specific assets, including any external collaborators/contributors to the Project).</w:t>
      </w:r>
      <w:r>
        <w:rPr>
          <w:rFonts w:eastAsia="Arial" w:cstheme="minorHAnsi"/>
          <w:b/>
          <w:bCs/>
        </w:rPr>
        <w:t> </w:t>
      </w:r>
    </w:p>
    <w:p>
      <w:pPr>
        <w:pStyle w:val="19"/>
        <w:numPr>
          <w:ilvl w:val="0"/>
          <w:numId w:val="2"/>
        </w:numPr>
        <w:spacing w:after="0" w:line="240" w:lineRule="auto"/>
        <w:ind w:right="144" w:hanging="180"/>
        <w:rPr>
          <w:rFonts w:eastAsia="Arial" w:cstheme="minorHAnsi"/>
          <w:b/>
          <w:bCs/>
        </w:rPr>
      </w:pPr>
      <w:r>
        <w:rPr>
          <w:rFonts w:eastAsia="Arial" w:cstheme="minorHAnsi"/>
          <w:b/>
        </w:rPr>
        <w:t>Describe potential risks/challenges to the success of this Project and how You plan to address them. Include any external factors or critical relationships with other partners/projects that may influence the success of this project (including any anticipated agreements to be entered into for purposes of the Project).</w:t>
      </w:r>
      <w:r>
        <w:rPr>
          <w:rFonts w:eastAsia="Arial" w:cstheme="minorHAnsi"/>
          <w:b/>
          <w:bCs/>
        </w:rPr>
        <w:t> </w:t>
      </w:r>
    </w:p>
    <w:p>
      <w:pPr>
        <w:pStyle w:val="19"/>
        <w:numPr>
          <w:ilvl w:val="0"/>
          <w:numId w:val="2"/>
        </w:numPr>
        <w:spacing w:after="0" w:line="240" w:lineRule="auto"/>
        <w:ind w:right="144" w:hanging="180"/>
        <w:rPr>
          <w:rFonts w:eastAsia="Arial" w:cstheme="minorHAnsi"/>
          <w:b/>
          <w:bCs/>
        </w:rPr>
      </w:pPr>
      <w:r>
        <w:rPr>
          <w:rFonts w:eastAsia="Arial" w:cstheme="minorHAnsi"/>
          <w:b/>
        </w:rPr>
        <w:t>Describe any changes or improvements You plan to make to Your organization's capacity to undertake or achieve the outcomes of the proposed investment.</w:t>
      </w:r>
      <w:r>
        <w:rPr>
          <w:rFonts w:eastAsia="Arial" w:cstheme="minorHAnsi"/>
          <w:b/>
          <w:bCs/>
        </w:rPr>
        <w:t> </w:t>
      </w:r>
    </w:p>
    <w:p>
      <w:pPr>
        <w:pStyle w:val="26"/>
        <w:spacing w:before="0" w:beforeAutospacing="0" w:after="0" w:afterAutospacing="0"/>
        <w:ind w:right="144"/>
        <w:textAlignment w:val="baseline"/>
        <w:rPr>
          <w:rFonts w:asciiTheme="minorHAnsi" w:hAnsiTheme="minorHAnsi" w:cstheme="minorHAnsi"/>
          <w:sz w:val="22"/>
          <w:szCs w:val="22"/>
        </w:rPr>
      </w:pPr>
      <w:r>
        <w:rPr>
          <w:rStyle w:val="27"/>
          <w:rFonts w:asciiTheme="minorHAnsi" w:hAnsiTheme="minorHAnsi" w:cstheme="minorHAnsi"/>
          <w:sz w:val="22"/>
          <w:szCs w:val="22"/>
        </w:rPr>
        <w:t>The foundation requires that funded projects are conducted and managed in a manner that will ensure a positive, sustainable impact on the foundation’s intended beneficiaries.  Please provide a response to each question in the bullets below, highlighting how Your management of the project described in this Investment Document (the “Project”) and the intended outcomes align with the Strategic Fit, Charitable Purpose, and the foundation’s Global Access requirements.  </w:t>
      </w:r>
      <w:r>
        <w:rPr>
          <w:rStyle w:val="28"/>
          <w:rFonts w:asciiTheme="minorHAnsi" w:hAnsiTheme="minorHAnsi" w:cstheme="minorHAnsi"/>
          <w:sz w:val="22"/>
          <w:szCs w:val="22"/>
        </w:rPr>
        <w:t> </w:t>
      </w:r>
    </w:p>
    <w:tbl>
      <w:tblPr>
        <w:tblStyle w:val="12"/>
        <w:tblW w:w="1079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90"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vAlign w:val="center"/>
          </w:tcPr>
          <w:p>
            <w:pPr>
              <w:spacing w:after="0" w:line="240" w:lineRule="auto"/>
              <w:ind w:right="144"/>
              <w:rPr>
                <w:rFonts w:ascii="Calibri" w:hAnsi="Calibri" w:eastAsia="Arial" w:cs="Arial"/>
              </w:rPr>
            </w:pPr>
            <w:r>
              <w:rPr>
                <w:rFonts w:ascii="Calibri" w:hAnsi="Calibri" w:eastAsia="Arial" w:cs="Arial"/>
                <w:b/>
                <w:bCs/>
              </w:rPr>
              <w:t>Primary Outcomes:</w:t>
            </w:r>
          </w:p>
          <w:p>
            <w:pPr>
              <w:spacing w:after="0" w:line="240" w:lineRule="auto"/>
              <w:ind w:right="144"/>
              <w:rPr>
                <w:rFonts w:ascii="Calibri" w:hAnsi="Calibri" w:eastAsia="Arial" w:cs="Arial"/>
              </w:rPr>
            </w:pPr>
            <w:r>
              <w:rPr>
                <w:rFonts w:ascii="Calibri" w:hAnsi="Calibri" w:eastAsia="Arial" w:cs="Arial"/>
                <w:b/>
                <w:bCs/>
              </w:rPr>
              <w:t>Project Approaches:</w:t>
            </w:r>
          </w:p>
          <w:p>
            <w:pPr>
              <w:spacing w:after="0" w:line="240" w:lineRule="auto"/>
              <w:ind w:right="144"/>
              <w:rPr>
                <w:rFonts w:ascii="Calibri" w:hAnsi="Calibri" w:eastAsia="Arial" w:cs="Arial"/>
              </w:rPr>
            </w:pPr>
            <w:r>
              <w:rPr>
                <w:rFonts w:ascii="Calibri" w:hAnsi="Calibri" w:eastAsia="Arial" w:cs="Arial"/>
                <w:b/>
                <w:bCs/>
              </w:rPr>
              <w:t>Potential risks/challenges:</w:t>
            </w:r>
          </w:p>
          <w:p>
            <w:pPr>
              <w:spacing w:after="0" w:line="240" w:lineRule="auto"/>
              <w:ind w:right="144"/>
              <w:rPr>
                <w:rFonts w:cstheme="minorHAnsi"/>
                <w:lang w:eastAsia="zh-CN"/>
              </w:rPr>
            </w:pPr>
            <w:r>
              <w:rPr>
                <w:rFonts w:ascii="Calibri" w:hAnsi="Calibri" w:eastAsia="Arial" w:cs="Arial"/>
                <w:b/>
                <w:bCs/>
              </w:rPr>
              <w:t>Capacity of your research team and organization:</w:t>
            </w:r>
          </w:p>
        </w:tc>
      </w:tr>
    </w:tbl>
    <w:p>
      <w:pPr>
        <w:spacing w:after="0" w:line="240" w:lineRule="auto"/>
        <w:ind w:right="144"/>
        <w:rPr>
          <w:rFonts w:eastAsia="Arial" w:cstheme="minorHAnsi"/>
          <w:bCs/>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bookmarkStart w:id="2" w:name="Investment_Results_Section_A"/>
            <w:bookmarkEnd w:id="2"/>
            <w:r>
              <w:rPr>
                <w:rFonts w:eastAsia="Arial,Times New Roman" w:cstheme="minorHAnsi"/>
                <w:b/>
                <w:bCs/>
              </w:rPr>
              <w:t>Investment</w:t>
            </w:r>
            <w:r>
              <w:rPr>
                <w:rFonts w:eastAsia="Arial" w:cstheme="minorHAnsi"/>
                <w:b/>
                <w:bCs/>
              </w:rPr>
              <w:t xml:space="preserve"> Results- Chinese Investigator to Collaborate </w:t>
            </w:r>
          </w:p>
        </w:tc>
      </w:tr>
    </w:tbl>
    <w:p>
      <w:pPr>
        <w:keepNext/>
        <w:spacing w:after="0" w:line="240" w:lineRule="auto"/>
        <w:ind w:right="144"/>
        <w:rPr>
          <w:rFonts w:eastAsia="Arial,Times New Roman" w:cstheme="minorHAnsi"/>
          <w:bCs/>
        </w:rPr>
      </w:pPr>
      <w:r>
        <w:rPr>
          <w:rFonts w:eastAsia="Arial,Times New Roman" w:cstheme="minorHAnsi"/>
          <w:b/>
          <w:bCs/>
        </w:rPr>
        <w:t xml:space="preserve">Provide specific details on the outcomes this investment will achieve (including those that define what success is for the investment), and the key outputs that signal whether the investment is on track. </w:t>
      </w:r>
      <w:r>
        <w:rPr>
          <w:rFonts w:eastAsia="Arial,Times New Roman" w:cstheme="minorHAnsi"/>
          <w:bCs/>
        </w:rPr>
        <w:t>Add more rows, as needed.</w:t>
      </w:r>
    </w:p>
    <w:p>
      <w:pPr>
        <w:keepNext/>
        <w:spacing w:after="0" w:line="240" w:lineRule="auto"/>
        <w:ind w:right="144"/>
        <w:rPr>
          <w:rFonts w:eastAsia="Arial" w:cstheme="minorHAnsi"/>
        </w:rPr>
      </w:pPr>
      <w:r>
        <w:rPr>
          <w:rFonts w:eastAsia="Arial,Times New Roman" w:cstheme="minorHAnsi"/>
          <w:b/>
          <w:bCs/>
        </w:rPr>
        <w:t xml:space="preserve">“Outcome” </w:t>
      </w:r>
      <w:r>
        <w:rPr>
          <w:rFonts w:eastAsia="Arial,Times New Roman" w:cstheme="minorHAnsi"/>
          <w:bCs/>
        </w:rPr>
        <w:t>is the ultimate or overall change(s) in</w:t>
      </w:r>
      <w:r>
        <w:rPr>
          <w:rStyle w:val="17"/>
          <w:rFonts w:cstheme="minorHAnsi"/>
          <w:sz w:val="22"/>
          <w:szCs w:val="22"/>
        </w:rPr>
        <w:t>-</w:t>
      </w:r>
      <w:r>
        <w:rPr>
          <w:rFonts w:eastAsia="Arial,Times New Roman" w:cstheme="minorHAnsi"/>
          <w:bCs/>
        </w:rPr>
        <w:t>systems, populations or behaviors the investment seeks to achieve within the context of the investment time</w:t>
      </w:r>
      <w:r>
        <w:rPr>
          <w:rFonts w:eastAsia="宋体" w:cstheme="minorHAnsi"/>
          <w:bCs/>
          <w:lang w:eastAsia="zh-CN"/>
        </w:rPr>
        <w:t xml:space="preserve"> </w:t>
      </w:r>
      <w:r>
        <w:rPr>
          <w:rFonts w:eastAsia="Arial,Times New Roman" w:cstheme="minorHAnsi"/>
          <w:bCs/>
        </w:rPr>
        <w:t>frame; tells us what success looks like for the investment.</w:t>
      </w:r>
      <w:r>
        <w:t xml:space="preserve"> </w:t>
      </w:r>
      <w:r>
        <w:rPr>
          <w:rFonts w:eastAsia="Arial,Times New Roman" w:cstheme="minorHAnsi"/>
          <w:bCs/>
        </w:rPr>
        <w:t>Add more rows as needed.</w:t>
      </w:r>
    </w:p>
    <w:tbl>
      <w:tblPr>
        <w:tblStyle w:val="11"/>
        <w:tblW w:w="10791" w:type="dxa"/>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fixed"/>
        <w:tblCellMar>
          <w:top w:w="86" w:type="dxa"/>
          <w:left w:w="0" w:type="dxa"/>
          <w:bottom w:w="86" w:type="dxa"/>
          <w:right w:w="0" w:type="dxa"/>
        </w:tblCellMar>
      </w:tblPr>
      <w:tblGrid>
        <w:gridCol w:w="1340"/>
        <w:gridCol w:w="3490"/>
        <w:gridCol w:w="2236"/>
        <w:gridCol w:w="2111"/>
        <w:gridCol w:w="1614"/>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86" w:type="dxa"/>
            <w:left w:w="0" w:type="dxa"/>
            <w:bottom w:w="86" w:type="dxa"/>
            <w:right w:w="0" w:type="dxa"/>
          </w:tblCellMar>
        </w:tblPrEx>
        <w:trPr>
          <w:cantSplit/>
          <w:trHeight w:val="664" w:hRule="exact"/>
        </w:trPr>
        <w:tc>
          <w:tcPr>
            <w:tcW w:w="1340" w:type="dxa"/>
            <w:shd w:val="clear" w:color="auto" w:fill="auto"/>
          </w:tcPr>
          <w:p>
            <w:pPr>
              <w:keepNext/>
              <w:spacing w:after="0" w:line="240" w:lineRule="auto"/>
              <w:ind w:left="79" w:right="144"/>
              <w:rPr>
                <w:rFonts w:eastAsia="Times New Roman" w:cstheme="minorHAnsi"/>
                <w:b/>
                <w:bCs/>
              </w:rPr>
            </w:pPr>
            <w:r>
              <w:rPr>
                <w:rFonts w:eastAsia="Arial,Times New Roman" w:cstheme="minorHAnsi"/>
                <w:b/>
                <w:bCs/>
              </w:rPr>
              <w:t>Outcome</w:t>
            </w:r>
            <w:r>
              <w:rPr>
                <w:rFonts w:cstheme="minorHAnsi"/>
              </w:rPr>
              <w:br w:type="textWrapping"/>
            </w:r>
            <w:r>
              <w:rPr>
                <w:rFonts w:eastAsia="Arial,Times New Roman" w:cstheme="minorHAnsi"/>
                <w:b/>
                <w:bCs/>
              </w:rPr>
              <w:t>Number</w:t>
            </w:r>
          </w:p>
        </w:tc>
        <w:tc>
          <w:tcPr>
            <w:tcW w:w="3490" w:type="dxa"/>
            <w:shd w:val="clear" w:color="auto" w:fill="auto"/>
          </w:tcPr>
          <w:p>
            <w:pPr>
              <w:spacing w:after="0" w:line="240" w:lineRule="auto"/>
              <w:ind w:left="80" w:right="144"/>
              <w:rPr>
                <w:rFonts w:cstheme="minorHAnsi"/>
              </w:rPr>
            </w:pPr>
            <w:r>
              <w:rPr>
                <w:rFonts w:eastAsia="Arial,Times New Roman" w:cstheme="minorHAnsi"/>
                <w:b/>
                <w:bCs/>
              </w:rPr>
              <w:t>Outcome Description</w:t>
            </w:r>
          </w:p>
        </w:tc>
        <w:tc>
          <w:tcPr>
            <w:tcW w:w="2236" w:type="dxa"/>
          </w:tcPr>
          <w:p>
            <w:pPr>
              <w:spacing w:after="0" w:line="240" w:lineRule="auto"/>
              <w:ind w:left="94" w:right="144"/>
              <w:rPr>
                <w:rFonts w:eastAsia="Times New Roman" w:cstheme="minorHAnsi"/>
                <w:b/>
                <w:bCs/>
              </w:rPr>
            </w:pPr>
            <w:r>
              <w:rPr>
                <w:rFonts w:eastAsia="Arial,Times New Roman" w:cstheme="minorHAnsi"/>
                <w:b/>
                <w:bCs/>
              </w:rPr>
              <w:t xml:space="preserve">Target </w:t>
            </w:r>
            <w:r>
              <w:rPr>
                <w:rFonts w:cstheme="minorHAnsi"/>
              </w:rPr>
              <w:br w:type="textWrapping"/>
            </w:r>
            <w:r>
              <w:rPr>
                <w:rFonts w:eastAsia="Arial,Times New Roman" w:cstheme="minorHAnsi"/>
                <w:b/>
                <w:bCs/>
              </w:rPr>
              <w:t>Completion Date</w:t>
            </w:r>
          </w:p>
        </w:tc>
        <w:tc>
          <w:tcPr>
            <w:tcW w:w="2111" w:type="dxa"/>
          </w:tcPr>
          <w:p>
            <w:pPr>
              <w:spacing w:after="0" w:line="240" w:lineRule="auto"/>
              <w:ind w:left="85" w:right="144"/>
              <w:rPr>
                <w:rFonts w:eastAsia="Times New Roman" w:cstheme="minorHAnsi"/>
                <w:b/>
                <w:bCs/>
              </w:rPr>
            </w:pPr>
            <w:r>
              <w:rPr>
                <w:rFonts w:eastAsia="Arial,Times New Roman" w:cstheme="minorHAnsi"/>
                <w:b/>
                <w:bCs/>
              </w:rPr>
              <w:t xml:space="preserve">Actual </w:t>
            </w:r>
            <w:r>
              <w:rPr>
                <w:rFonts w:cstheme="minorHAnsi"/>
              </w:rPr>
              <w:br w:type="textWrapping"/>
            </w:r>
            <w:r>
              <w:rPr>
                <w:rFonts w:eastAsia="Arial,Times New Roman" w:cstheme="minorHAnsi"/>
                <w:b/>
                <w:bCs/>
              </w:rPr>
              <w:t>Completion Date</w:t>
            </w:r>
          </w:p>
        </w:tc>
        <w:tc>
          <w:tcPr>
            <w:tcW w:w="1614" w:type="dxa"/>
          </w:tcPr>
          <w:p>
            <w:pPr>
              <w:spacing w:after="0" w:line="240" w:lineRule="auto"/>
              <w:ind w:left="85" w:right="144"/>
              <w:rPr>
                <w:rFonts w:eastAsia="Times New Roman" w:cstheme="minorHAnsi"/>
                <w:b/>
                <w:bCs/>
              </w:rPr>
            </w:pPr>
            <w:r>
              <w:rPr>
                <w:rFonts w:eastAsia="Arial,Times New Roman" w:cstheme="minorHAnsi"/>
                <w:b/>
                <w:bCs/>
              </w:rPr>
              <w:t xml:space="preserve">Payment </w:t>
            </w:r>
            <w:r>
              <w:rPr>
                <w:rFonts w:cstheme="minorHAnsi"/>
              </w:rPr>
              <w:br w:type="textWrapping"/>
            </w:r>
            <w:r>
              <w:rPr>
                <w:rFonts w:eastAsia="Arial,Times New Roman" w:cstheme="minorHAnsi"/>
                <w:b/>
                <w:bCs/>
              </w:rPr>
              <w:t>Contingency</w:t>
            </w:r>
          </w:p>
        </w:tc>
      </w:tr>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86" w:type="dxa"/>
            <w:left w:w="0" w:type="dxa"/>
            <w:bottom w:w="86" w:type="dxa"/>
            <w:right w:w="0" w:type="dxa"/>
          </w:tblCellMar>
        </w:tblPrEx>
        <w:trPr>
          <w:trHeight w:val="163" w:hRule="atLeast"/>
        </w:trPr>
        <w:tc>
          <w:tcPr>
            <w:tcW w:w="1340" w:type="dxa"/>
            <w:shd w:val="clear" w:color="auto" w:fill="FEFEFE"/>
          </w:tcPr>
          <w:p>
            <w:pPr>
              <w:spacing w:after="0" w:line="240" w:lineRule="auto"/>
              <w:ind w:left="79" w:right="144"/>
              <w:rPr>
                <w:rFonts w:eastAsia="Times New Roman" w:cstheme="minorHAnsi"/>
              </w:rPr>
            </w:pPr>
          </w:p>
        </w:tc>
        <w:tc>
          <w:tcPr>
            <w:tcW w:w="3490" w:type="dxa"/>
            <w:shd w:val="clear" w:color="auto" w:fill="FEFEFE"/>
          </w:tcPr>
          <w:p>
            <w:pPr>
              <w:spacing w:after="0" w:line="240" w:lineRule="auto"/>
              <w:ind w:right="144"/>
              <w:rPr>
                <w:rFonts w:eastAsia="Times New Roman" w:cstheme="minorHAnsi"/>
              </w:rPr>
            </w:pPr>
          </w:p>
        </w:tc>
        <w:tc>
          <w:tcPr>
            <w:tcW w:w="2236" w:type="dxa"/>
            <w:shd w:val="clear" w:color="auto" w:fill="FEFEFE"/>
          </w:tcPr>
          <w:p>
            <w:pPr>
              <w:spacing w:after="0" w:line="240" w:lineRule="auto"/>
              <w:ind w:right="144" w:firstLine="110" w:firstLineChars="50"/>
              <w:rPr>
                <w:rFonts w:eastAsia="Times New Roman" w:cstheme="minorHAnsi"/>
              </w:rPr>
            </w:pPr>
          </w:p>
        </w:tc>
        <w:tc>
          <w:tcPr>
            <w:tcW w:w="2111" w:type="dxa"/>
            <w:shd w:val="clear" w:color="auto" w:fill="FEFEFE"/>
          </w:tcPr>
          <w:p>
            <w:pPr>
              <w:spacing w:after="0" w:line="240" w:lineRule="auto"/>
              <w:ind w:left="85" w:right="144"/>
              <w:rPr>
                <w:rFonts w:eastAsia="Times New Roman" w:cstheme="minorHAnsi"/>
              </w:rPr>
            </w:pPr>
          </w:p>
        </w:tc>
        <w:tc>
          <w:tcPr>
            <w:tcW w:w="1614" w:type="dxa"/>
            <w:shd w:val="clear" w:color="auto" w:fill="FEFEFE"/>
          </w:tcPr>
          <w:p>
            <w:pPr>
              <w:spacing w:after="0" w:line="240" w:lineRule="auto"/>
              <w:ind w:left="85" w:right="144"/>
              <w:rPr>
                <w:rFonts w:eastAsia="Times New Roman" w:cstheme="minorHAnsi"/>
              </w:rPr>
            </w:pPr>
          </w:p>
        </w:tc>
      </w:tr>
    </w:tbl>
    <w:p>
      <w:pPr>
        <w:spacing w:after="0" w:line="240" w:lineRule="auto"/>
        <w:ind w:right="144"/>
        <w:contextualSpacing/>
        <w:rPr>
          <w:rFonts w:eastAsia="Arial" w:cstheme="minorHAnsi"/>
        </w:rPr>
      </w:pPr>
    </w:p>
    <w:p>
      <w:pPr>
        <w:keepNext/>
        <w:spacing w:after="0" w:line="240" w:lineRule="auto"/>
        <w:ind w:right="144"/>
        <w:rPr>
          <w:rFonts w:eastAsia="Arial,Times New Roman" w:cstheme="minorHAnsi"/>
          <w:bCs/>
        </w:rPr>
      </w:pPr>
      <w:r>
        <w:rPr>
          <w:rFonts w:eastAsia="Arial,Times New Roman" w:cstheme="minorHAnsi"/>
          <w:b/>
          <w:bCs/>
        </w:rPr>
        <w:t xml:space="preserve"> “Output</w:t>
      </w:r>
      <w:r>
        <w:rPr>
          <w:rFonts w:eastAsia="Arial,Times New Roman" w:cstheme="minorHAnsi"/>
          <w:bCs/>
        </w:rPr>
        <w:t>” or “</w:t>
      </w:r>
      <w:r>
        <w:rPr>
          <w:rFonts w:eastAsia="Arial,Times New Roman" w:cstheme="minorHAnsi"/>
          <w:b/>
          <w:bCs/>
        </w:rPr>
        <w:t>Funded Development</w:t>
      </w:r>
      <w:r>
        <w:rPr>
          <w:rFonts w:eastAsia="Arial,Times New Roman" w:cstheme="minorHAnsi"/>
          <w:bCs/>
        </w:rPr>
        <w:t>” means the products, services, processes, technologies, materials, software, data, other innovations, and intellectual property resulting from the Project (including modifications, improvements, and further developments to Background Technology). Note: You will be required to disclose and update Intellectual Property (IP) and include any links to applications, filings, or registrations, as applicable, in future progress report(s).</w:t>
      </w:r>
      <w:r>
        <w:t xml:space="preserve"> </w:t>
      </w:r>
      <w:r>
        <w:rPr>
          <w:rFonts w:eastAsia="Arial,Times New Roman" w:cstheme="minorHAnsi"/>
          <w:bCs/>
        </w:rPr>
        <w:t>Add more rows as needed.</w:t>
      </w:r>
    </w:p>
    <w:tbl>
      <w:tblPr>
        <w:tblStyle w:val="11"/>
        <w:tblW w:w="10785" w:type="dxa"/>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fixed"/>
        <w:tblCellMar>
          <w:top w:w="86" w:type="dxa"/>
          <w:left w:w="0" w:type="dxa"/>
          <w:bottom w:w="86" w:type="dxa"/>
          <w:right w:w="0" w:type="dxa"/>
        </w:tblCellMar>
      </w:tblPr>
      <w:tblGrid>
        <w:gridCol w:w="1695"/>
        <w:gridCol w:w="1710"/>
        <w:gridCol w:w="1350"/>
        <w:gridCol w:w="1350"/>
        <w:gridCol w:w="1440"/>
        <w:gridCol w:w="1800"/>
        <w:gridCol w:w="1440"/>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86" w:type="dxa"/>
            <w:left w:w="0" w:type="dxa"/>
            <w:bottom w:w="86" w:type="dxa"/>
            <w:right w:w="0" w:type="dxa"/>
          </w:tblCellMar>
        </w:tblPrEx>
        <w:trPr>
          <w:cantSplit/>
          <w:trHeight w:val="1259" w:hRule="exact"/>
        </w:trPr>
        <w:tc>
          <w:tcPr>
            <w:tcW w:w="1695" w:type="dxa"/>
            <w:shd w:val="clear" w:color="auto" w:fill="auto"/>
          </w:tcPr>
          <w:p>
            <w:pPr>
              <w:keepNext/>
              <w:spacing w:after="0" w:line="240" w:lineRule="auto"/>
              <w:ind w:left="79" w:right="144"/>
              <w:rPr>
                <w:rFonts w:eastAsia="Times New Roman" w:cstheme="minorHAnsi"/>
                <w:b/>
                <w:bCs/>
              </w:rPr>
            </w:pPr>
            <w:r>
              <w:rPr>
                <w:rFonts w:eastAsia="Arial,Times New Roman" w:cstheme="minorHAnsi"/>
                <w:b/>
                <w:bCs/>
              </w:rPr>
              <w:t>Output/Funded Development Number</w:t>
            </w:r>
          </w:p>
        </w:tc>
        <w:tc>
          <w:tcPr>
            <w:tcW w:w="1710" w:type="dxa"/>
            <w:shd w:val="clear" w:color="auto" w:fill="auto"/>
          </w:tcPr>
          <w:p>
            <w:pPr>
              <w:spacing w:after="0" w:line="240" w:lineRule="auto"/>
              <w:ind w:left="80" w:right="144"/>
              <w:rPr>
                <w:rFonts w:cstheme="minorHAnsi"/>
              </w:rPr>
            </w:pPr>
            <w:r>
              <w:rPr>
                <w:rFonts w:eastAsia="Arial,Times New Roman" w:cstheme="minorHAnsi"/>
                <w:b/>
                <w:bCs/>
              </w:rPr>
              <w:t>Output/Funded Development</w:t>
            </w:r>
            <w:r>
              <w:rPr>
                <w:rFonts w:cstheme="minorHAnsi"/>
              </w:rPr>
              <w:br w:type="textWrapping"/>
            </w:r>
            <w:r>
              <w:rPr>
                <w:rFonts w:eastAsia="Arial,Times New Roman" w:cstheme="minorHAnsi"/>
                <w:b/>
                <w:bCs/>
              </w:rPr>
              <w:t>Description</w:t>
            </w:r>
          </w:p>
        </w:tc>
        <w:tc>
          <w:tcPr>
            <w:tcW w:w="1350" w:type="dxa"/>
          </w:tcPr>
          <w:p>
            <w:pPr>
              <w:spacing w:after="0" w:line="240" w:lineRule="auto"/>
              <w:ind w:left="94" w:right="144"/>
              <w:rPr>
                <w:rFonts w:eastAsia="Times New Roman" w:cstheme="minorHAnsi"/>
                <w:b/>
                <w:bCs/>
              </w:rPr>
            </w:pPr>
            <w:r>
              <w:rPr>
                <w:rFonts w:eastAsia="Arial,Times New Roman" w:cstheme="minorHAnsi"/>
                <w:b/>
                <w:bCs/>
              </w:rPr>
              <w:t xml:space="preserve">Target </w:t>
            </w:r>
            <w:r>
              <w:rPr>
                <w:rFonts w:cstheme="minorHAnsi"/>
              </w:rPr>
              <w:br w:type="textWrapping"/>
            </w:r>
            <w:r>
              <w:rPr>
                <w:rFonts w:eastAsia="Arial,Times New Roman" w:cstheme="minorHAnsi"/>
                <w:b/>
                <w:bCs/>
              </w:rPr>
              <w:t>Completion Date</w:t>
            </w:r>
          </w:p>
        </w:tc>
        <w:tc>
          <w:tcPr>
            <w:tcW w:w="1350" w:type="dxa"/>
          </w:tcPr>
          <w:p>
            <w:pPr>
              <w:spacing w:after="0" w:line="240" w:lineRule="auto"/>
              <w:ind w:left="85" w:right="144"/>
              <w:rPr>
                <w:rFonts w:eastAsia="Times New Roman" w:cstheme="minorHAnsi"/>
                <w:b/>
                <w:bCs/>
              </w:rPr>
            </w:pPr>
            <w:r>
              <w:rPr>
                <w:rFonts w:eastAsia="Arial,Times New Roman" w:cstheme="minorHAnsi"/>
                <w:b/>
                <w:bCs/>
              </w:rPr>
              <w:t xml:space="preserve">Actual </w:t>
            </w:r>
            <w:r>
              <w:rPr>
                <w:rFonts w:cstheme="minorHAnsi"/>
              </w:rPr>
              <w:br w:type="textWrapping"/>
            </w:r>
            <w:r>
              <w:rPr>
                <w:rFonts w:eastAsia="Arial,Times New Roman" w:cstheme="minorHAnsi"/>
                <w:b/>
                <w:bCs/>
              </w:rPr>
              <w:t>Completion Date</w:t>
            </w:r>
          </w:p>
        </w:tc>
        <w:tc>
          <w:tcPr>
            <w:tcW w:w="1440" w:type="dxa"/>
          </w:tcPr>
          <w:p>
            <w:pPr>
              <w:spacing w:after="0" w:line="240" w:lineRule="auto"/>
              <w:ind w:left="85" w:right="144"/>
              <w:rPr>
                <w:rFonts w:eastAsia="Times New Roman" w:cstheme="minorHAnsi"/>
                <w:b/>
                <w:bCs/>
              </w:rPr>
            </w:pPr>
            <w:r>
              <w:rPr>
                <w:rFonts w:eastAsia="Arial,Times New Roman" w:cstheme="minorHAnsi"/>
                <w:b/>
                <w:bCs/>
              </w:rPr>
              <w:t xml:space="preserve">Payment </w:t>
            </w:r>
            <w:r>
              <w:rPr>
                <w:rFonts w:cstheme="minorHAnsi"/>
              </w:rPr>
              <w:br w:type="textWrapping"/>
            </w:r>
            <w:r>
              <w:rPr>
                <w:rFonts w:eastAsia="Arial,Times New Roman" w:cstheme="minorHAnsi"/>
                <w:b/>
                <w:bCs/>
              </w:rPr>
              <w:t>Contingency</w:t>
            </w:r>
          </w:p>
        </w:tc>
        <w:tc>
          <w:tcPr>
            <w:tcW w:w="1800" w:type="dxa"/>
          </w:tcPr>
          <w:p>
            <w:pPr>
              <w:spacing w:after="0" w:line="240" w:lineRule="auto"/>
              <w:ind w:left="85" w:right="144"/>
              <w:rPr>
                <w:rFonts w:eastAsia="Arial,Times New Roman" w:cstheme="minorHAnsi"/>
                <w:b/>
                <w:bCs/>
              </w:rPr>
            </w:pPr>
            <w:r>
              <w:rPr>
                <w:rFonts w:eastAsia="Arial,Times New Roman" w:cstheme="minorHAnsi"/>
                <w:b/>
                <w:bCs/>
              </w:rPr>
              <w:t xml:space="preserve">Third-Party agreement required? </w:t>
            </w:r>
            <w:r>
              <w:rPr>
                <w:rFonts w:eastAsia="Arial,Times New Roman" w:cstheme="minorHAnsi"/>
                <w:b/>
                <w:bCs/>
              </w:rPr>
              <w:br w:type="textWrapping"/>
            </w:r>
            <w:r>
              <w:rPr>
                <w:rFonts w:eastAsia="Arial,Times New Roman" w:cstheme="minorHAnsi"/>
                <w:bCs/>
              </w:rPr>
              <w:t>If yes, by when?</w:t>
            </w:r>
          </w:p>
        </w:tc>
        <w:tc>
          <w:tcPr>
            <w:tcW w:w="1440" w:type="dxa"/>
          </w:tcPr>
          <w:p>
            <w:pPr>
              <w:spacing w:after="0" w:line="240" w:lineRule="auto"/>
              <w:ind w:left="85" w:right="144"/>
              <w:rPr>
                <w:rFonts w:eastAsia="Arial,Times New Roman" w:cstheme="minorHAnsi"/>
                <w:b/>
                <w:bCs/>
              </w:rPr>
            </w:pPr>
            <w:r>
              <w:rPr>
                <w:rFonts w:eastAsia="Arial,Times New Roman" w:cstheme="minorHAnsi"/>
                <w:b/>
                <w:bCs/>
              </w:rPr>
              <w:t>Will any IP rights be filed/</w:t>
            </w:r>
            <w:r>
              <w:rPr>
                <w:rFonts w:eastAsia="Arial,Times New Roman" w:cstheme="minorHAnsi"/>
                <w:b/>
                <w:bCs/>
              </w:rPr>
              <w:br w:type="textWrapping"/>
            </w:r>
            <w:r>
              <w:rPr>
                <w:rFonts w:eastAsia="Arial,Times New Roman" w:cstheme="minorHAnsi"/>
                <w:b/>
                <w:bCs/>
              </w:rPr>
              <w:t>generated?</w:t>
            </w:r>
          </w:p>
        </w:tc>
      </w:tr>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86" w:type="dxa"/>
            <w:left w:w="0" w:type="dxa"/>
            <w:bottom w:w="86" w:type="dxa"/>
            <w:right w:w="0" w:type="dxa"/>
          </w:tblCellMar>
        </w:tblPrEx>
        <w:trPr>
          <w:trHeight w:val="163" w:hRule="atLeast"/>
        </w:trPr>
        <w:tc>
          <w:tcPr>
            <w:tcW w:w="1695" w:type="dxa"/>
            <w:shd w:val="clear" w:color="auto" w:fill="FEFEFE"/>
          </w:tcPr>
          <w:p>
            <w:pPr>
              <w:spacing w:after="0" w:line="240" w:lineRule="auto"/>
              <w:ind w:left="79" w:right="144"/>
              <w:rPr>
                <w:rFonts w:cstheme="minorHAnsi"/>
                <w:lang w:eastAsia="zh-CN"/>
              </w:rPr>
            </w:pPr>
          </w:p>
        </w:tc>
        <w:tc>
          <w:tcPr>
            <w:tcW w:w="1710" w:type="dxa"/>
            <w:shd w:val="clear" w:color="auto" w:fill="FEFEFE"/>
          </w:tcPr>
          <w:p>
            <w:pPr>
              <w:spacing w:after="0" w:line="240" w:lineRule="auto"/>
              <w:ind w:left="80" w:right="144"/>
              <w:rPr>
                <w:rFonts w:cstheme="minorHAnsi"/>
                <w:lang w:eastAsia="zh-CN"/>
              </w:rPr>
            </w:pPr>
          </w:p>
        </w:tc>
        <w:tc>
          <w:tcPr>
            <w:tcW w:w="1350" w:type="dxa"/>
            <w:shd w:val="clear" w:color="auto" w:fill="FEFEFE"/>
          </w:tcPr>
          <w:p>
            <w:pPr>
              <w:spacing w:after="0" w:line="240" w:lineRule="auto"/>
              <w:ind w:right="144" w:firstLine="110" w:firstLineChars="50"/>
              <w:rPr>
                <w:rFonts w:cstheme="minorHAnsi"/>
                <w:lang w:eastAsia="zh-CN"/>
              </w:rPr>
            </w:pPr>
          </w:p>
        </w:tc>
        <w:tc>
          <w:tcPr>
            <w:tcW w:w="1350" w:type="dxa"/>
            <w:shd w:val="clear" w:color="auto" w:fill="FEFEFE"/>
          </w:tcPr>
          <w:p>
            <w:pPr>
              <w:spacing w:after="0" w:line="240" w:lineRule="auto"/>
              <w:ind w:left="85" w:right="144"/>
              <w:rPr>
                <w:rFonts w:cstheme="minorHAnsi"/>
                <w:lang w:eastAsia="zh-CN"/>
              </w:rPr>
            </w:pPr>
          </w:p>
        </w:tc>
        <w:tc>
          <w:tcPr>
            <w:tcW w:w="1440" w:type="dxa"/>
            <w:shd w:val="clear" w:color="auto" w:fill="FEFEFE"/>
          </w:tcPr>
          <w:p>
            <w:pPr>
              <w:spacing w:after="0" w:line="240" w:lineRule="auto"/>
              <w:ind w:left="85" w:right="144"/>
              <w:rPr>
                <w:rFonts w:cstheme="minorHAnsi"/>
                <w:lang w:eastAsia="zh-CN"/>
              </w:rPr>
            </w:pPr>
          </w:p>
        </w:tc>
        <w:tc>
          <w:tcPr>
            <w:tcW w:w="1800" w:type="dxa"/>
            <w:shd w:val="clear" w:color="auto" w:fill="FEFEFE"/>
          </w:tcPr>
          <w:p>
            <w:pPr>
              <w:spacing w:after="0" w:line="240" w:lineRule="auto"/>
              <w:ind w:left="79" w:right="144"/>
              <w:rPr>
                <w:rFonts w:cstheme="minorHAnsi"/>
                <w:lang w:eastAsia="zh-CN"/>
              </w:rPr>
            </w:pPr>
          </w:p>
        </w:tc>
        <w:tc>
          <w:tcPr>
            <w:tcW w:w="1440" w:type="dxa"/>
            <w:shd w:val="clear" w:color="auto" w:fill="FEFEFE"/>
          </w:tcPr>
          <w:p>
            <w:pPr>
              <w:spacing w:after="0" w:line="240" w:lineRule="auto"/>
              <w:ind w:left="80" w:right="144"/>
              <w:rPr>
                <w:rFonts w:cstheme="minorHAnsi"/>
                <w:lang w:eastAsia="zh-CN"/>
              </w:rPr>
            </w:pPr>
          </w:p>
        </w:tc>
      </w:tr>
    </w:tbl>
    <w:p>
      <w:pPr>
        <w:spacing w:after="0" w:line="240" w:lineRule="auto"/>
        <w:ind w:right="144"/>
        <w:rPr>
          <w:rFonts w:cstheme="minorHAnsi"/>
          <w:bCs/>
          <w:lang w:eastAsia="zh-CN"/>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PrEx>
        <w:trPr>
          <w:trHeight w:val="360" w:hRule="atLeast"/>
        </w:trPr>
        <w:tc>
          <w:tcPr>
            <w:tcW w:w="10800" w:type="dxa"/>
            <w:shd w:val="clear" w:color="auto" w:fill="D0CECE"/>
            <w:vAlign w:val="center"/>
          </w:tcPr>
          <w:p>
            <w:pPr>
              <w:keepNext/>
              <w:spacing w:after="0" w:line="240" w:lineRule="auto"/>
              <w:ind w:right="144"/>
              <w:rPr>
                <w:rFonts w:cstheme="minorHAnsi"/>
                <w:b/>
                <w:bCs/>
                <w:color w:val="404040" w:themeColor="text1" w:themeTint="BF"/>
                <w14:textFill>
                  <w14:solidFill>
                    <w14:schemeClr w14:val="tx1">
                      <w14:lumMod w14:val="75000"/>
                      <w14:lumOff w14:val="25000"/>
                    </w14:schemeClr>
                  </w14:solidFill>
                </w14:textFill>
              </w:rPr>
            </w:pPr>
            <w:r>
              <w:rPr>
                <w:rFonts w:eastAsia="Arial" w:cstheme="minorHAnsi"/>
                <w:b/>
                <w:bCs/>
              </w:rPr>
              <w:t xml:space="preserve">Global </w:t>
            </w:r>
            <w:r>
              <w:rPr>
                <w:rFonts w:eastAsia="Arial,Times New Roman" w:cstheme="minorHAnsi"/>
                <w:b/>
                <w:bCs/>
              </w:rPr>
              <w:t>Access</w:t>
            </w:r>
            <w:r>
              <w:rPr>
                <w:rFonts w:eastAsia="Arial" w:cstheme="minorHAnsi"/>
                <w:b/>
                <w:bCs/>
              </w:rPr>
              <w:t>/Impact for Foundation’s Beneficiaries – Chinese Investigator to Complete</w:t>
            </w:r>
          </w:p>
        </w:tc>
      </w:tr>
    </w:tbl>
    <w:p>
      <w:pPr>
        <w:spacing w:after="0" w:line="240" w:lineRule="auto"/>
        <w:ind w:right="144"/>
        <w:rPr>
          <w:rFonts w:cstheme="minorHAnsi"/>
          <w:b/>
          <w:bCs/>
        </w:rPr>
      </w:pPr>
      <w:r>
        <w:rPr>
          <w:rFonts w:cstheme="minorHAnsi"/>
          <w:b/>
          <w:bCs/>
        </w:rPr>
        <w:t>To ensure a positive impact on the foundation’s intended beneficiaries, the foundation requires that all Projects and outputs be managed to ensure Global Access.</w:t>
      </w:r>
      <w:r>
        <w:rPr>
          <w:rFonts w:eastAsia="Arial,Times New Roman" w:cstheme="minorHAnsi"/>
          <w:b/>
          <w:bCs/>
        </w:rPr>
        <w:t xml:space="preserve"> You will be requested to update the responses below, as may be applicable, in future progress reports.</w:t>
      </w:r>
    </w:p>
    <w:p>
      <w:pPr>
        <w:spacing w:after="0" w:line="240" w:lineRule="auto"/>
        <w:ind w:right="144"/>
        <w:rPr>
          <w:rFonts w:cstheme="minorHAnsi"/>
        </w:rPr>
      </w:pPr>
      <w:r>
        <w:rPr>
          <w:rFonts w:cstheme="minorHAnsi"/>
          <w:b/>
          <w:bCs/>
        </w:rPr>
        <w:t>“Global Access”</w:t>
      </w:r>
      <w:r>
        <w:rPr>
          <w:rFonts w:cstheme="minorHAnsi"/>
        </w:rPr>
        <w:t xml:space="preserve"> is a foundation policy requiring that: (a) the knowledge and information gained from the Project will be promptly and broadly disseminated; and (b) the Funded Developments will be made available and accessible at an affordable price (i) to people most in need within developing countries, or (ii) in support of the U.S. educational system and public libraries, as applicable to the Project.</w:t>
      </w:r>
    </w:p>
    <w:p>
      <w:pPr>
        <w:spacing w:after="0" w:line="240" w:lineRule="auto"/>
        <w:ind w:right="144"/>
        <w:rPr>
          <w:rFonts w:cstheme="minorHAnsi"/>
        </w:rPr>
      </w:pPr>
      <w:r>
        <w:rPr>
          <w:rFonts w:cstheme="minorHAnsi"/>
          <w:b/>
          <w:bCs/>
        </w:rPr>
        <w:t>“Funded Developments”</w:t>
      </w:r>
      <w:r>
        <w:rPr>
          <w:rFonts w:cstheme="minorHAnsi"/>
          <w:b/>
          <w:bCs/>
          <w:lang w:eastAsia="zh-CN"/>
        </w:rPr>
        <w:t xml:space="preserve"> </w:t>
      </w:r>
      <w:r>
        <w:rPr>
          <w:rFonts w:cstheme="minorHAnsi"/>
        </w:rPr>
        <w:t xml:space="preserve">means the products, services, processes, technologies, materials, software, data, other innovations, and intellectual property resulting from the Project (including modifications, improvements, and further developments to Background Technology). </w:t>
      </w:r>
    </w:p>
    <w:p>
      <w:pPr>
        <w:spacing w:after="0" w:line="240" w:lineRule="auto"/>
        <w:ind w:right="144"/>
        <w:rPr>
          <w:rFonts w:cstheme="minorHAnsi"/>
        </w:rPr>
      </w:pPr>
      <w:r>
        <w:rPr>
          <w:rFonts w:cstheme="minorHAnsi"/>
          <w:b/>
          <w:bCs/>
        </w:rPr>
        <w:t>“Background Technology”</w:t>
      </w:r>
      <w:r>
        <w:rPr>
          <w:rFonts w:cstheme="minorHAnsi"/>
        </w:rPr>
        <w:t xml:space="preserve"> means any and all products, services, processes, technologies, materials, software, data, or other innovations, and intellectual property created by You or a third party prior to or outside of the Project used as part of the Project.</w:t>
      </w:r>
    </w:p>
    <w:p>
      <w:pPr>
        <w:pStyle w:val="19"/>
        <w:numPr>
          <w:ilvl w:val="0"/>
          <w:numId w:val="3"/>
        </w:numPr>
        <w:spacing w:after="0" w:line="240" w:lineRule="auto"/>
        <w:ind w:right="144"/>
        <w:rPr>
          <w:rFonts w:cstheme="minorHAnsi"/>
          <w:b/>
          <w:bCs/>
        </w:rPr>
      </w:pPr>
      <w:r>
        <w:rPr>
          <w:rFonts w:cstheme="minorHAnsi"/>
          <w:b/>
          <w:bCs/>
        </w:rPr>
        <w:t xml:space="preserve">How will You disseminate the knowledge and information arising from the Project? (For peer-reviewed publications see our </w:t>
      </w:r>
      <w:r>
        <w:fldChar w:fldCharType="begin"/>
      </w:r>
      <w:r>
        <w:instrText xml:space="preserve"> HYPERLINK "https://www.gatesfoundation.org/How-We-Work/General-Information/Open-Access-Policy" </w:instrText>
      </w:r>
      <w:r>
        <w:fldChar w:fldCharType="separate"/>
      </w:r>
      <w:r>
        <w:rPr>
          <w:rStyle w:val="16"/>
          <w:rFonts w:cstheme="minorHAnsi"/>
          <w:b/>
          <w:bCs/>
        </w:rPr>
        <w:t>Open Access policy.)</w:t>
      </w:r>
      <w:r>
        <w:rPr>
          <w:rStyle w:val="16"/>
          <w:rFonts w:cstheme="minorHAnsi"/>
          <w:b/>
          <w:bCs/>
        </w:rPr>
        <w:fldChar w:fldCharType="end"/>
      </w:r>
    </w:p>
    <w:tbl>
      <w:tblPr>
        <w:tblStyle w:val="12"/>
        <w:tblW w:w="0" w:type="auto"/>
        <w:tblInd w:w="435"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335"/>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432" w:hRule="atLeast"/>
        </w:trPr>
        <w:tc>
          <w:tcPr>
            <w:tcW w:w="10335" w:type="dxa"/>
          </w:tcPr>
          <w:p>
            <w:pPr>
              <w:spacing w:after="0" w:line="240" w:lineRule="auto"/>
              <w:ind w:right="144"/>
              <w:rPr>
                <w:rFonts w:cstheme="minorHAnsi"/>
                <w:lang w:eastAsia="zh-CN"/>
              </w:rPr>
            </w:pPr>
          </w:p>
        </w:tc>
      </w:tr>
    </w:tbl>
    <w:p>
      <w:pPr>
        <w:pStyle w:val="19"/>
        <w:numPr>
          <w:ilvl w:val="0"/>
          <w:numId w:val="3"/>
        </w:numPr>
        <w:spacing w:after="0" w:line="240" w:lineRule="auto"/>
        <w:ind w:right="144"/>
        <w:rPr>
          <w:rFonts w:cstheme="minorHAnsi"/>
          <w:b/>
          <w:bCs/>
        </w:rPr>
      </w:pPr>
      <w:r>
        <w:rPr>
          <w:rFonts w:cstheme="minorHAnsi"/>
          <w:b/>
          <w:bCs/>
        </w:rPr>
        <w:t xml:space="preserve">How will You ensure affordable and meaningful access to the Funded Developments arising from the Project (and Background Technology, if any)?  </w:t>
      </w:r>
    </w:p>
    <w:tbl>
      <w:tblPr>
        <w:tblStyle w:val="12"/>
        <w:tblW w:w="0" w:type="auto"/>
        <w:tblInd w:w="435"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335"/>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432" w:hRule="atLeast"/>
        </w:trPr>
        <w:tc>
          <w:tcPr>
            <w:tcW w:w="10335" w:type="dxa"/>
          </w:tcPr>
          <w:p>
            <w:pPr>
              <w:spacing w:after="0" w:line="240" w:lineRule="auto"/>
              <w:ind w:right="144"/>
              <w:rPr>
                <w:rFonts w:cstheme="minorHAnsi"/>
                <w:lang w:eastAsia="zh-CN"/>
              </w:rPr>
            </w:pPr>
          </w:p>
        </w:tc>
      </w:tr>
    </w:tbl>
    <w:p>
      <w:pPr>
        <w:pStyle w:val="19"/>
        <w:numPr>
          <w:ilvl w:val="0"/>
          <w:numId w:val="3"/>
        </w:numPr>
        <w:spacing w:after="0" w:line="240" w:lineRule="auto"/>
        <w:ind w:right="144"/>
        <w:contextualSpacing w:val="0"/>
        <w:rPr>
          <w:rFonts w:cstheme="minorHAnsi"/>
          <w:b/>
          <w:bCs/>
        </w:rPr>
      </w:pPr>
      <w:r>
        <w:rPr>
          <w:rFonts w:eastAsia="Arial,Times New Roman" w:cstheme="minorHAnsi"/>
          <w:b/>
          <w:bCs/>
        </w:rPr>
        <w:t>Do You foresee any obstacles to achieving Global Access (e.g., third-party rights,</w:t>
      </w:r>
      <w:r>
        <w:rPr>
          <w:rFonts w:cstheme="minorHAnsi"/>
          <w:b/>
          <w:bCs/>
          <w:lang w:eastAsia="zh-CN"/>
        </w:rPr>
        <w:t xml:space="preserve"> </w:t>
      </w:r>
      <w:r>
        <w:rPr>
          <w:rFonts w:eastAsia="Arial,Times New Roman" w:cstheme="minorHAnsi"/>
          <w:b/>
          <w:bCs/>
        </w:rPr>
        <w:t xml:space="preserve">restrictions on Background Technology, time frame, affordability)? </w:t>
      </w:r>
    </w:p>
    <w:p>
      <w:pPr>
        <w:pStyle w:val="19"/>
        <w:spacing w:after="0" w:line="240" w:lineRule="auto"/>
        <w:ind w:left="450" w:right="144"/>
        <w:contextualSpacing w:val="0"/>
        <w:rPr>
          <w:rFonts w:cstheme="minorHAnsi"/>
        </w:rPr>
      </w:pPr>
      <w:r>
        <w:rPr>
          <w:rFonts w:cstheme="minorHAnsi"/>
          <w:b/>
          <w:bCs/>
        </w:rPr>
        <w:t>No</w:t>
      </w:r>
      <w:r>
        <w:rPr>
          <w:rFonts w:cstheme="minorHAnsi"/>
          <w:b/>
          <w:bCs/>
          <w:u w:val="single"/>
        </w:rPr>
        <w:t>___</w:t>
      </w:r>
    </w:p>
    <w:p>
      <w:pPr>
        <w:pStyle w:val="19"/>
        <w:spacing w:after="0" w:line="240" w:lineRule="auto"/>
        <w:ind w:left="450" w:right="144"/>
        <w:rPr>
          <w:rFonts w:cstheme="minorHAnsi"/>
          <w:b/>
          <w:bCs/>
        </w:rPr>
      </w:pPr>
      <w:r>
        <w:rPr>
          <w:rFonts w:cstheme="minorHAnsi"/>
          <w:b/>
          <w:bCs/>
        </w:rPr>
        <w:t>Yes</w:t>
      </w:r>
      <w:r>
        <w:rPr>
          <w:rFonts w:cstheme="minorHAnsi"/>
          <w:b/>
          <w:bCs/>
          <w:u w:val="single"/>
        </w:rPr>
        <w:t>____</w:t>
      </w:r>
      <w:r>
        <w:rPr>
          <w:rFonts w:cstheme="minorHAnsi"/>
          <w:b/>
          <w:bCs/>
        </w:rPr>
        <w:t xml:space="preserve"> (please explain</w:t>
      </w:r>
      <w:r>
        <w:rPr>
          <w:rFonts w:cstheme="minorHAnsi"/>
          <w:b/>
          <w:bCs/>
          <w:lang w:eastAsia="zh-CN"/>
        </w:rPr>
        <w:t xml:space="preserve"> </w:t>
      </w:r>
      <w:r>
        <w:rPr>
          <w:rFonts w:eastAsia="Arial,Times New Roman" w:cstheme="minorHAnsi"/>
          <w:b/>
          <w:bCs/>
        </w:rPr>
        <w:t xml:space="preserve">and describe the specific steps that You will take to address them).  </w:t>
      </w:r>
    </w:p>
    <w:tbl>
      <w:tblPr>
        <w:tblStyle w:val="12"/>
        <w:tblW w:w="0" w:type="auto"/>
        <w:tblInd w:w="435"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335"/>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432" w:hRule="atLeast"/>
        </w:trPr>
        <w:tc>
          <w:tcPr>
            <w:tcW w:w="10335" w:type="dxa"/>
          </w:tcPr>
          <w:p>
            <w:pPr>
              <w:pStyle w:val="19"/>
              <w:spacing w:after="0" w:line="240" w:lineRule="auto"/>
              <w:ind w:left="450" w:right="144"/>
              <w:contextualSpacing w:val="0"/>
              <w:rPr>
                <w:rFonts w:cstheme="minorHAnsi"/>
              </w:rPr>
            </w:pPr>
          </w:p>
        </w:tc>
      </w:tr>
    </w:tbl>
    <w:p>
      <w:pPr>
        <w:pStyle w:val="19"/>
        <w:keepNext/>
        <w:numPr>
          <w:ilvl w:val="0"/>
          <w:numId w:val="3"/>
        </w:numPr>
        <w:spacing w:after="0" w:line="240" w:lineRule="auto"/>
        <w:ind w:right="144"/>
        <w:contextualSpacing w:val="0"/>
        <w:rPr>
          <w:rFonts w:eastAsia="Arial,Times New Roman" w:cstheme="minorHAnsi"/>
          <w:b/>
          <w:bCs/>
        </w:rPr>
      </w:pPr>
      <w:r>
        <w:rPr>
          <w:rFonts w:eastAsia="Arial,Times New Roman" w:cstheme="minorHAnsi"/>
          <w:b/>
          <w:bCs/>
        </w:rPr>
        <w:t>Please confirm that You will make available for Global Access purposes the Funded Developments and any Background Technology that is (i) owned, controlled, or developed by You, or in-licensed with the right to sublicense; and (ii) either incorporated into a Funded Development or reasonably required to use the Funded Development.</w:t>
      </w:r>
      <w:r>
        <w:rPr>
          <w:rFonts w:cstheme="minorHAnsi"/>
          <w:b/>
          <w:bCs/>
          <w:lang w:eastAsia="zh-CN"/>
        </w:rPr>
        <w:t xml:space="preserve"> </w:t>
      </w:r>
      <w:r>
        <w:rPr>
          <w:rFonts w:eastAsia="Arial,Times New Roman" w:cstheme="minorHAnsi"/>
          <w:bCs/>
        </w:rPr>
        <w:t xml:space="preserve">See the Global Access terms located in the foundation’s </w:t>
      </w:r>
      <w:bookmarkStart w:id="3" w:name="_Hlk1639136"/>
      <w:r>
        <w:rPr>
          <w:rFonts w:eastAsia="Arial,Times New Roman" w:cstheme="minorHAnsi"/>
          <w:bCs/>
          <w:color w:val="4472C4" w:themeColor="accent1"/>
          <w:u w:val="single"/>
          <w14:textFill>
            <w14:solidFill>
              <w14:schemeClr w14:val="accent1"/>
            </w14:solidFill>
          </w14:textFill>
        </w:rPr>
        <w:fldChar w:fldCharType="begin"/>
      </w:r>
      <w:r>
        <w:rPr>
          <w:rFonts w:eastAsia="Arial,Times New Roman" w:cstheme="minorHAnsi"/>
          <w:bCs/>
          <w:color w:val="4472C4" w:themeColor="accent1"/>
          <w:u w:val="single"/>
          <w14:textFill>
            <w14:solidFill>
              <w14:schemeClr w14:val="accent1"/>
            </w14:solidFill>
          </w14:textFill>
        </w:rPr>
        <w:instrText xml:space="preserve"> HYPERLINK "https://docs.gatesfoundation.org/Documents/Sample-Terms-and-Conditions.pdf"</w:instrText>
      </w:r>
      <w:r>
        <w:rPr>
          <w:rFonts w:eastAsia="Arial,Times New Roman" w:cstheme="minorHAnsi"/>
          <w:bCs/>
          <w:color w:val="4472C4" w:themeColor="accent1"/>
          <w:u w:val="single"/>
          <w14:textFill>
            <w14:solidFill>
              <w14:schemeClr w14:val="accent1"/>
            </w14:solidFill>
          </w14:textFill>
        </w:rPr>
        <w:fldChar w:fldCharType="separate"/>
      </w:r>
      <w:r>
        <w:rPr>
          <w:rStyle w:val="16"/>
          <w:rFonts w:eastAsia="Arial,Times New Roman" w:cstheme="minorHAnsi"/>
          <w:bCs/>
        </w:rPr>
        <w:t>grant terms and conditions.</w:t>
      </w:r>
      <w:r>
        <w:rPr>
          <w:rFonts w:eastAsia="Arial,Times New Roman" w:cstheme="minorHAnsi"/>
          <w:bCs/>
          <w:color w:val="4472C4" w:themeColor="accent1"/>
          <w:u w:val="single"/>
          <w14:textFill>
            <w14:solidFill>
              <w14:schemeClr w14:val="accent1"/>
            </w14:solidFill>
          </w14:textFill>
        </w:rPr>
        <w:fldChar w:fldCharType="end"/>
      </w:r>
    </w:p>
    <w:bookmarkEnd w:id="3"/>
    <w:p>
      <w:pPr>
        <w:pStyle w:val="19"/>
        <w:spacing w:after="0" w:line="240" w:lineRule="auto"/>
        <w:ind w:left="446" w:right="144"/>
        <w:contextualSpacing w:val="0"/>
        <w:rPr>
          <w:rFonts w:cstheme="minorHAnsi"/>
        </w:rPr>
      </w:pPr>
      <w:r>
        <w:rPr>
          <w:rFonts w:cstheme="minorHAnsi"/>
          <w:b/>
          <w:bCs/>
        </w:rPr>
        <w:t xml:space="preserve">Confirmed </w:t>
      </w:r>
      <w:r>
        <w:rPr>
          <w:rFonts w:cstheme="minorHAnsi"/>
          <w:b/>
          <w:bCs/>
          <w:u w:val="single"/>
        </w:rPr>
        <w:t>__</w:t>
      </w:r>
    </w:p>
    <w:p>
      <w:pPr>
        <w:pStyle w:val="19"/>
        <w:spacing w:after="0" w:line="240" w:lineRule="auto"/>
        <w:ind w:left="446" w:right="144"/>
        <w:rPr>
          <w:rFonts w:cstheme="minorHAnsi"/>
          <w:b/>
          <w:bCs/>
        </w:rPr>
      </w:pPr>
      <w:r>
        <w:rPr>
          <w:rFonts w:cstheme="minorHAnsi"/>
          <w:b/>
          <w:bCs/>
        </w:rPr>
        <w:t xml:space="preserve">Not confirmed </w:t>
      </w:r>
      <w:r>
        <w:rPr>
          <w:rFonts w:cstheme="minorHAnsi"/>
          <w:b/>
          <w:bCs/>
          <w:u w:val="single"/>
        </w:rPr>
        <w:t>____</w:t>
      </w:r>
      <w:r>
        <w:rPr>
          <w:rFonts w:cstheme="minorHAnsi"/>
          <w:b/>
          <w:bCs/>
        </w:rPr>
        <w:t xml:space="preserve"> (please explain)</w:t>
      </w:r>
    </w:p>
    <w:tbl>
      <w:tblPr>
        <w:tblStyle w:val="12"/>
        <w:tblW w:w="0" w:type="auto"/>
        <w:tblInd w:w="435"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335"/>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432" w:hRule="atLeast"/>
        </w:trPr>
        <w:tc>
          <w:tcPr>
            <w:tcW w:w="10335" w:type="dxa"/>
          </w:tcPr>
          <w:p>
            <w:pPr>
              <w:spacing w:after="0" w:line="240" w:lineRule="auto"/>
              <w:ind w:right="144"/>
              <w:rPr>
                <w:rFonts w:cstheme="minorHAnsi"/>
                <w:color w:val="404040" w:themeColor="text1" w:themeTint="BF"/>
                <w14:textFill>
                  <w14:solidFill>
                    <w14:schemeClr w14:val="tx1">
                      <w14:lumMod w14:val="75000"/>
                      <w14:lumOff w14:val="25000"/>
                    </w14:schemeClr>
                  </w14:solidFill>
                </w14:textFill>
              </w:rPr>
            </w:pPr>
          </w:p>
        </w:tc>
      </w:tr>
    </w:tbl>
    <w:p>
      <w:pPr>
        <w:spacing w:after="0" w:line="240" w:lineRule="auto"/>
        <w:ind w:right="144"/>
        <w:rPr>
          <w:rFonts w:eastAsia="Arial" w:cstheme="minorHAnsi"/>
          <w:bCs/>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0" w:type="dxa"/>
            <w:tcBorders>
              <w:top w:val="single" w:color="auto" w:sz="4" w:space="0"/>
              <w:left w:val="nil"/>
              <w:bottom w:val="single" w:color="auto" w:sz="4" w:space="0"/>
              <w:right w:val="nil"/>
            </w:tcBorders>
          </w:tcPr>
          <w:p>
            <w:pPr>
              <w:spacing w:after="0" w:line="240" w:lineRule="auto"/>
              <w:ind w:right="144"/>
              <w:rPr>
                <w:rFonts w:cstheme="minorHAnsi"/>
                <w:b/>
                <w:bCs/>
              </w:rPr>
            </w:pPr>
            <w:r>
              <w:rPr>
                <w:rFonts w:cstheme="minorHAnsi"/>
                <w:b/>
                <w:bCs/>
              </w:rPr>
              <w:t>SECTION C – BUDGET INFORMATION</w:t>
            </w:r>
          </w:p>
        </w:tc>
      </w:tr>
    </w:tbl>
    <w:p>
      <w:pPr>
        <w:pStyle w:val="9"/>
        <w:shd w:val="clear" w:color="auto" w:fill="FFFFFF"/>
        <w:spacing w:before="0" w:beforeAutospacing="0" w:after="0" w:afterAutospacing="0"/>
        <w:ind w:right="144"/>
        <w:rPr>
          <w:rStyle w:val="28"/>
          <w:rFonts w:asciiTheme="minorHAnsi" w:hAnsiTheme="minorHAnsi" w:cstheme="minorHAnsi"/>
          <w:color w:val="000000"/>
          <w:sz w:val="22"/>
          <w:szCs w:val="22"/>
          <w:shd w:val="clear" w:color="auto" w:fill="FFFFFF"/>
        </w:rPr>
      </w:pPr>
      <w:r>
        <w:rPr>
          <w:rStyle w:val="27"/>
          <w:rFonts w:asciiTheme="minorHAnsi" w:hAnsiTheme="minorHAnsi" w:cstheme="minorHAnsi"/>
          <w:i/>
          <w:iCs/>
          <w:color w:val="000000"/>
          <w:sz w:val="22"/>
          <w:szCs w:val="22"/>
          <w:shd w:val="clear" w:color="auto" w:fill="FFFFFF"/>
        </w:rPr>
        <w:t>The purpose of the budget narrative is to supplement the information provided in the Excel-based budget template by justifying how the budget cost elements are necessary to implement Project activities and accomplish target outcomes. The budget information section is used to help foundation staff fully understand the budgetary needs of the Project and is an opportunity to provide descriptive information about the key costs and risks that can’t be easily communicated in the budget template. Together, this budget narrative and Excel budget should provide a complete quantitative and qualitative description that supports the proposed budget. The description provided in the budget template should be very brief. Please use this budget narrative to provide a thorough description of Your budget and only complete questions that are relevant to Your proposal.</w:t>
      </w:r>
      <w:r>
        <w:rPr>
          <w:rStyle w:val="28"/>
          <w:rFonts w:asciiTheme="minorHAnsi" w:hAnsiTheme="minorHAnsi" w:cstheme="minorHAnsi"/>
          <w:i/>
          <w:color w:val="000000"/>
          <w:sz w:val="22"/>
          <w:szCs w:val="22"/>
          <w:shd w:val="clear" w:color="auto" w:fill="FFFFFF"/>
        </w:rPr>
        <w:t> </w:t>
      </w: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CellMar>
            <w:top w:w="0" w:type="dxa"/>
            <w:left w:w="108" w:type="dxa"/>
            <w:bottom w:w="0" w:type="dxa"/>
            <w:right w:w="108" w:type="dxa"/>
          </w:tblCellMar>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Times New Roman" w:cstheme="minorHAnsi"/>
                <w:b/>
                <w:bCs/>
              </w:rPr>
              <w:t>Budget</w:t>
            </w:r>
            <w:r>
              <w:rPr>
                <w:rFonts w:eastAsia="Arial" w:cstheme="minorHAnsi"/>
                <w:b/>
                <w:bCs/>
              </w:rPr>
              <w:t xml:space="preserve"> Summary </w:t>
            </w:r>
            <w:r>
              <w:rPr>
                <w:rFonts w:eastAsia="Arial,Times New Roman" w:cstheme="minorHAnsi"/>
                <w:b/>
                <w:bCs/>
              </w:rPr>
              <w:t xml:space="preserve">- Chinese Investigator to Complete </w:t>
            </w:r>
          </w:p>
        </w:tc>
      </w:tr>
    </w:tbl>
    <w:p>
      <w:pPr>
        <w:spacing w:after="0" w:line="240" w:lineRule="auto"/>
        <w:ind w:right="144"/>
        <w:rPr>
          <w:rFonts w:cstheme="minorHAnsi"/>
          <w:b/>
          <w:i/>
        </w:rPr>
      </w:pPr>
      <w:r>
        <w:rPr>
          <w:rFonts w:eastAsia="Arial" w:cstheme="minorHAnsi"/>
          <w:b/>
          <w:bCs/>
        </w:rPr>
        <w:t>Please explain the major cost drivers and how costs relate to planned activities and target outcomes. Also explain any potential risks in spending as budgeted and any plans to mitigate those risks.</w:t>
      </w:r>
    </w:p>
    <w:p>
      <w:pPr>
        <w:spacing w:after="0" w:line="240" w:lineRule="auto"/>
        <w:ind w:right="144"/>
        <w:rPr>
          <w:rFonts w:cstheme="minorHAnsi"/>
          <w:b/>
        </w:rPr>
      </w:pPr>
      <w:r>
        <w:rPr>
          <w:rFonts w:eastAsia="Arial" w:cstheme="minorHAnsi"/>
          <w:b/>
          <w:bCs/>
        </w:rPr>
        <w:t>If budgeting by outcomes, or additional dimension, please explain the major cost drivers per outcome or other relevant dimension.</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770"/>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303" w:hRule="atLeast"/>
        </w:trPr>
        <w:tc>
          <w:tcPr>
            <w:tcW w:w="10770"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p>
            <w:pPr>
              <w:tabs>
                <w:tab w:val="left" w:pos="312"/>
              </w:tabs>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r>
              <w:rPr>
                <w:rFonts w:hint="eastAsia" w:cstheme="minorHAnsi"/>
                <w:color w:val="404040" w:themeColor="text1" w:themeTint="BF"/>
                <w:lang w:eastAsia="zh-CN"/>
                <w14:textFill>
                  <w14:solidFill>
                    <w14:schemeClr w14:val="tx1">
                      <w14:lumMod w14:val="75000"/>
                      <w14:lumOff w14:val="25000"/>
                    </w14:schemeClr>
                  </w14:solidFill>
                </w14:textFill>
              </w:rPr>
              <w:t xml:space="preserve"> </w:t>
            </w:r>
          </w:p>
        </w:tc>
      </w:tr>
    </w:tbl>
    <w:p>
      <w:pPr>
        <w:spacing w:after="0" w:line="240" w:lineRule="auto"/>
        <w:ind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 xml:space="preserve">Detailed Budget Information </w:t>
            </w:r>
            <w:r>
              <w:rPr>
                <w:rFonts w:eastAsia="Arial,Times New Roman" w:cstheme="minorHAnsi"/>
                <w:b/>
                <w:bCs/>
              </w:rPr>
              <w:t xml:space="preserve">- Chinese Investigator to Complete </w:t>
            </w:r>
          </w:p>
        </w:tc>
      </w:tr>
    </w:tbl>
    <w:p>
      <w:pPr>
        <w:pStyle w:val="26"/>
        <w:spacing w:before="0" w:beforeAutospacing="0" w:after="0" w:afterAutospacing="0"/>
        <w:ind w:right="144"/>
        <w:textAlignment w:val="baseline"/>
        <w:rPr>
          <w:rFonts w:asciiTheme="minorHAnsi" w:hAnsiTheme="minorHAnsi" w:cstheme="minorHAnsi"/>
          <w:sz w:val="22"/>
          <w:szCs w:val="22"/>
        </w:rPr>
      </w:pPr>
      <w:r>
        <w:rPr>
          <w:rStyle w:val="27"/>
          <w:rFonts w:asciiTheme="minorHAnsi" w:hAnsiTheme="minorHAnsi" w:cstheme="minorHAnsi"/>
          <w:b/>
          <w:bCs/>
          <w:sz w:val="22"/>
          <w:szCs w:val="22"/>
        </w:rPr>
        <w:t>Personnel and Benefits: Provide a brief explanation of personnel budgeted, including responsibilities as they relate to the grant. Also include assumptions made for any staff budgeted which are to-be-hired, including salary estimates for these personnel. Describe the components of the benefits (column R of the “Budget Details” sheet) included with the salary costs. For example: pension, health insurance, expatriate costs, etc.</w:t>
      </w:r>
      <w:r>
        <w:rPr>
          <w:rStyle w:val="28"/>
          <w:rFonts w:asciiTheme="minorHAnsi" w:hAnsiTheme="minorHAnsi" w:cstheme="minorHAnsi"/>
          <w:sz w:val="22"/>
          <w:szCs w:val="22"/>
        </w:rPr>
        <w:t> </w:t>
      </w:r>
    </w:p>
    <w:p>
      <w:pPr>
        <w:pStyle w:val="26"/>
        <w:spacing w:before="0" w:beforeAutospacing="0" w:after="0" w:afterAutospacing="0"/>
        <w:ind w:right="144"/>
        <w:textAlignment w:val="baseline"/>
        <w:rPr>
          <w:rFonts w:asciiTheme="minorHAnsi" w:hAnsiTheme="minorHAnsi" w:cstheme="minorHAnsi"/>
          <w:sz w:val="22"/>
          <w:szCs w:val="22"/>
        </w:rPr>
      </w:pPr>
      <w:r>
        <w:rPr>
          <w:rStyle w:val="27"/>
          <w:rFonts w:asciiTheme="minorHAnsi" w:hAnsiTheme="minorHAnsi" w:cstheme="minorHAnsi"/>
          <w:b/>
          <w:bCs/>
          <w:sz w:val="22"/>
          <w:szCs w:val="22"/>
        </w:rPr>
        <w:t>Travel: Provide rationale for the travel budgeted and assumptions used to determine appropriate number of trips and personnel required. Also include a brief rationale for how travel costs were estimated.</w:t>
      </w:r>
      <w:r>
        <w:rPr>
          <w:rStyle w:val="28"/>
          <w:rFonts w:asciiTheme="minorHAnsi" w:hAnsiTheme="minorHAnsi" w:cstheme="minorHAnsi"/>
          <w:sz w:val="22"/>
          <w:szCs w:val="22"/>
        </w:rPr>
        <w:t> </w:t>
      </w:r>
    </w:p>
    <w:p>
      <w:pPr>
        <w:pStyle w:val="26"/>
        <w:spacing w:before="0" w:beforeAutospacing="0" w:after="0" w:afterAutospacing="0"/>
        <w:ind w:right="144"/>
        <w:textAlignment w:val="baseline"/>
        <w:rPr>
          <w:rFonts w:asciiTheme="minorHAnsi" w:hAnsiTheme="minorHAnsi" w:cstheme="minorHAnsi"/>
          <w:sz w:val="22"/>
          <w:szCs w:val="22"/>
        </w:rPr>
      </w:pPr>
      <w:r>
        <w:rPr>
          <w:rStyle w:val="27"/>
          <w:rFonts w:asciiTheme="minorHAnsi" w:hAnsiTheme="minorHAnsi" w:cstheme="minorHAnsi"/>
          <w:b/>
          <w:bCs/>
          <w:sz w:val="22"/>
          <w:szCs w:val="22"/>
        </w:rPr>
        <w:t>Consultants: Provide a brief description of the work to be performed by consultants in support of the overall Project and describe any expenses that have been included.</w:t>
      </w:r>
      <w:r>
        <w:rPr>
          <w:rStyle w:val="28"/>
          <w:rFonts w:asciiTheme="minorHAnsi" w:hAnsiTheme="minorHAnsi" w:cstheme="minorHAnsi"/>
          <w:sz w:val="22"/>
          <w:szCs w:val="22"/>
        </w:rPr>
        <w:t> </w:t>
      </w:r>
    </w:p>
    <w:p>
      <w:pPr>
        <w:pStyle w:val="26"/>
        <w:spacing w:before="0" w:beforeAutospacing="0" w:after="0" w:afterAutospacing="0"/>
        <w:ind w:right="144"/>
        <w:textAlignment w:val="baseline"/>
        <w:rPr>
          <w:rFonts w:asciiTheme="minorHAnsi" w:hAnsiTheme="minorHAnsi" w:cstheme="minorHAnsi"/>
          <w:b/>
          <w:bCs/>
          <w:sz w:val="22"/>
          <w:szCs w:val="22"/>
        </w:rPr>
      </w:pPr>
      <w:r>
        <w:rPr>
          <w:rStyle w:val="27"/>
          <w:rFonts w:asciiTheme="minorHAnsi" w:hAnsiTheme="minorHAnsi" w:cstheme="minorHAnsi"/>
          <w:b/>
          <w:bCs/>
          <w:sz w:val="22"/>
          <w:szCs w:val="22"/>
        </w:rPr>
        <w:t xml:space="preserve">Capital Equipment: Provide a brief justification and description of any items required for the Project with a unit cost of greater than </w:t>
      </w:r>
      <w:r>
        <w:rPr>
          <w:rStyle w:val="27"/>
          <w:rFonts w:hint="eastAsia" w:ascii="宋体" w:hAnsi="宋体" w:eastAsia="宋体" w:cs="宋体"/>
          <w:b/>
          <w:bCs/>
          <w:sz w:val="22"/>
          <w:szCs w:val="22"/>
          <w:lang w:eastAsia="zh-CN"/>
        </w:rPr>
        <w:t>￥</w:t>
      </w:r>
      <w:r>
        <w:rPr>
          <w:rStyle w:val="27"/>
          <w:rFonts w:asciiTheme="minorHAnsi" w:hAnsiTheme="minorHAnsi" w:cstheme="minorHAnsi"/>
          <w:b/>
          <w:bCs/>
          <w:sz w:val="22"/>
          <w:szCs w:val="22"/>
        </w:rPr>
        <w:t>35,000 (RMB) and a useful life of more than one year.</w:t>
      </w:r>
      <w:r>
        <w:rPr>
          <w:rStyle w:val="28"/>
          <w:rFonts w:asciiTheme="minorHAnsi" w:hAnsiTheme="minorHAnsi" w:cstheme="minorHAnsi"/>
          <w:sz w:val="22"/>
          <w:szCs w:val="22"/>
        </w:rPr>
        <w:t> </w:t>
      </w:r>
    </w:p>
    <w:p>
      <w:pPr>
        <w:pStyle w:val="26"/>
        <w:spacing w:before="0" w:beforeAutospacing="0" w:after="0" w:afterAutospacing="0"/>
        <w:ind w:right="144"/>
        <w:textAlignment w:val="baseline"/>
        <w:rPr>
          <w:rFonts w:asciiTheme="minorHAnsi" w:hAnsiTheme="minorHAnsi" w:cstheme="minorHAnsi"/>
          <w:sz w:val="22"/>
          <w:szCs w:val="22"/>
        </w:rPr>
      </w:pPr>
      <w:r>
        <w:rPr>
          <w:rStyle w:val="27"/>
          <w:rFonts w:asciiTheme="minorHAnsi" w:hAnsiTheme="minorHAnsi" w:cstheme="minorHAnsi"/>
          <w:b/>
          <w:bCs/>
          <w:sz w:val="22"/>
          <w:szCs w:val="22"/>
        </w:rPr>
        <w:t>Other Direct Costs: Provide a brief description and rationale for other direct costs required, including cost assumptions used to develop the budget for these costs.</w:t>
      </w:r>
      <w:r>
        <w:rPr>
          <w:rStyle w:val="28"/>
          <w:rFonts w:asciiTheme="minorHAnsi" w:hAnsiTheme="minorHAnsi" w:cstheme="minorHAnsi"/>
          <w:sz w:val="22"/>
          <w:szCs w:val="22"/>
        </w:rPr>
        <w:t> Add more rows as needed.</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fixed"/>
        <w:tblCellMar>
          <w:top w:w="0" w:type="dxa"/>
          <w:left w:w="108" w:type="dxa"/>
          <w:bottom w:w="0" w:type="dxa"/>
          <w:right w:w="108" w:type="dxa"/>
        </w:tblCellMar>
      </w:tblPr>
      <w:tblGrid>
        <w:gridCol w:w="10770"/>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573" w:hRule="atLeast"/>
        </w:trPr>
        <w:tc>
          <w:tcPr>
            <w:tcW w:w="10770"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086"/>
              <w:gridCol w:w="7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4" w:type="pct"/>
                  <w:shd w:val="clear" w:color="auto" w:fill="auto"/>
                  <w:noWrap/>
                  <w:vAlign w:val="bottom"/>
                </w:tcPr>
                <w:p>
                  <w:pPr>
                    <w:spacing w:after="0" w:line="240" w:lineRule="auto"/>
                    <w:ind w:right="144"/>
                    <w:jc w:val="center"/>
                    <w:textAlignment w:val="bottom"/>
                    <w:rPr>
                      <w:rFonts w:ascii="Calibri" w:hAnsi="Calibri" w:eastAsia="等线" w:cs="Calibri"/>
                      <w:color w:val="000000"/>
                      <w:sz w:val="20"/>
                      <w:szCs w:val="20"/>
                    </w:rPr>
                  </w:pPr>
                  <w:r>
                    <w:rPr>
                      <w:rFonts w:ascii="Calibri" w:hAnsi="Calibri" w:eastAsia="等线" w:cs="Calibri"/>
                      <w:color w:val="000000"/>
                      <w:sz w:val="20"/>
                      <w:szCs w:val="20"/>
                      <w:lang w:eastAsia="zh-CN" w:bidi="ar"/>
                    </w:rPr>
                    <w:t>Items</w:t>
                  </w:r>
                </w:p>
              </w:tc>
              <w:tc>
                <w:tcPr>
                  <w:tcW w:w="515" w:type="pct"/>
                  <w:shd w:val="clear" w:color="auto" w:fill="auto"/>
                  <w:noWrap/>
                  <w:vAlign w:val="bottom"/>
                </w:tcPr>
                <w:p>
                  <w:pPr>
                    <w:spacing w:after="0" w:line="240" w:lineRule="auto"/>
                    <w:ind w:right="144"/>
                    <w:jc w:val="center"/>
                    <w:textAlignment w:val="bottom"/>
                    <w:rPr>
                      <w:rFonts w:ascii="Calibri" w:hAnsi="Calibri" w:eastAsia="等线" w:cs="Calibri"/>
                      <w:color w:val="000000"/>
                      <w:sz w:val="20"/>
                      <w:szCs w:val="20"/>
                    </w:rPr>
                  </w:pPr>
                  <w:r>
                    <w:rPr>
                      <w:rFonts w:ascii="Calibri" w:hAnsi="Calibri" w:eastAsia="等线" w:cs="Calibri"/>
                      <w:color w:val="000000"/>
                      <w:sz w:val="20"/>
                      <w:szCs w:val="20"/>
                      <w:lang w:eastAsia="zh-CN" w:bidi="ar"/>
                    </w:rPr>
                    <w:t>Cost</w:t>
                  </w:r>
                </w:p>
              </w:tc>
              <w:tc>
                <w:tcPr>
                  <w:tcW w:w="3701" w:type="pct"/>
                  <w:shd w:val="clear" w:color="auto" w:fill="auto"/>
                  <w:noWrap/>
                  <w:vAlign w:val="bottom"/>
                </w:tcPr>
                <w:p>
                  <w:pPr>
                    <w:spacing w:after="0" w:line="240" w:lineRule="auto"/>
                    <w:ind w:right="144"/>
                    <w:textAlignment w:val="bottom"/>
                    <w:rPr>
                      <w:rFonts w:ascii="Calibri" w:hAnsi="Calibri" w:eastAsia="等线" w:cs="Calibri"/>
                      <w:color w:val="000000"/>
                      <w:sz w:val="20"/>
                      <w:szCs w:val="20"/>
                    </w:rPr>
                  </w:pPr>
                  <w:r>
                    <w:rPr>
                      <w:rFonts w:ascii="Calibri" w:hAnsi="Calibri" w:eastAsia="等线" w:cs="Calibri"/>
                      <w:color w:val="000000"/>
                      <w:sz w:val="20"/>
                      <w:szCs w:val="20"/>
                      <w:lang w:eastAsia="zh-CN" w:bidi="ar"/>
                    </w:rPr>
                    <w:t>Item description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4" w:type="pct"/>
                  <w:shd w:val="clear" w:color="auto" w:fill="auto"/>
                  <w:noWrap/>
                  <w:vAlign w:val="bottom"/>
                </w:tcPr>
                <w:p>
                  <w:pPr>
                    <w:spacing w:after="0" w:line="240" w:lineRule="auto"/>
                    <w:ind w:right="144"/>
                    <w:textAlignment w:val="bottom"/>
                    <w:rPr>
                      <w:rFonts w:ascii="Calibri" w:hAnsi="Calibri" w:eastAsia="等线" w:cs="Calibri"/>
                      <w:color w:val="000000"/>
                      <w:sz w:val="20"/>
                      <w:szCs w:val="20"/>
                    </w:rPr>
                  </w:pPr>
                </w:p>
              </w:tc>
              <w:tc>
                <w:tcPr>
                  <w:tcW w:w="515" w:type="pct"/>
                  <w:shd w:val="clear" w:color="auto" w:fill="auto"/>
                  <w:noWrap/>
                  <w:vAlign w:val="bottom"/>
                </w:tcPr>
                <w:p>
                  <w:pPr>
                    <w:spacing w:after="0" w:line="240" w:lineRule="auto"/>
                    <w:ind w:right="144"/>
                    <w:jc w:val="center"/>
                    <w:textAlignment w:val="bottom"/>
                    <w:rPr>
                      <w:rFonts w:ascii="Calibri" w:hAnsi="Calibri" w:eastAsia="等线" w:cs="Calibri"/>
                      <w:color w:val="000000"/>
                      <w:sz w:val="20"/>
                      <w:szCs w:val="20"/>
                    </w:rPr>
                  </w:pPr>
                </w:p>
              </w:tc>
              <w:tc>
                <w:tcPr>
                  <w:tcW w:w="3701" w:type="pct"/>
                  <w:shd w:val="clear" w:color="auto" w:fill="auto"/>
                  <w:noWrap/>
                  <w:vAlign w:val="bottom"/>
                </w:tcPr>
                <w:p>
                  <w:pPr>
                    <w:spacing w:after="0" w:line="240" w:lineRule="auto"/>
                    <w:ind w:right="144"/>
                    <w:textAlignment w:val="bottom"/>
                    <w:rPr>
                      <w:rFonts w:ascii="Calibri" w:hAnsi="Calibri" w:eastAsia="等线" w:cs="Calibri"/>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84" w:type="pct"/>
                  <w:shd w:val="clear" w:color="auto" w:fill="auto"/>
                  <w:noWrap/>
                  <w:vAlign w:val="bottom"/>
                </w:tcPr>
                <w:p>
                  <w:pPr>
                    <w:spacing w:after="0" w:line="240" w:lineRule="auto"/>
                    <w:ind w:right="144"/>
                    <w:jc w:val="center"/>
                    <w:textAlignment w:val="bottom"/>
                    <w:rPr>
                      <w:rFonts w:ascii="Calibri" w:hAnsi="Calibri" w:eastAsia="等线" w:cs="Calibri"/>
                      <w:color w:val="000000"/>
                      <w:sz w:val="20"/>
                      <w:szCs w:val="20"/>
                      <w:lang w:eastAsia="zh-CN" w:bidi="ar"/>
                    </w:rPr>
                  </w:pPr>
                  <w:r>
                    <w:rPr>
                      <w:rFonts w:ascii="Calibri" w:hAnsi="Calibri" w:eastAsia="等线" w:cs="Calibri"/>
                      <w:color w:val="000000"/>
                      <w:sz w:val="20"/>
                      <w:szCs w:val="20"/>
                      <w:lang w:eastAsia="zh-CN" w:bidi="ar"/>
                    </w:rPr>
                    <w:t>Total</w:t>
                  </w:r>
                </w:p>
              </w:tc>
              <w:tc>
                <w:tcPr>
                  <w:tcW w:w="515" w:type="pct"/>
                  <w:shd w:val="clear" w:color="auto" w:fill="auto"/>
                  <w:noWrap/>
                  <w:vAlign w:val="bottom"/>
                </w:tcPr>
                <w:p>
                  <w:pPr>
                    <w:spacing w:after="0" w:line="240" w:lineRule="auto"/>
                    <w:ind w:right="144"/>
                    <w:jc w:val="center"/>
                    <w:textAlignment w:val="bottom"/>
                    <w:rPr>
                      <w:rFonts w:ascii="Calibri" w:hAnsi="Calibri" w:eastAsia="等线" w:cs="Calibri"/>
                      <w:color w:val="000000"/>
                      <w:sz w:val="20"/>
                      <w:szCs w:val="20"/>
                      <w:lang w:eastAsia="zh-CN" w:bidi="ar"/>
                    </w:rPr>
                  </w:pPr>
                </w:p>
              </w:tc>
              <w:tc>
                <w:tcPr>
                  <w:tcW w:w="3701" w:type="pct"/>
                  <w:shd w:val="clear" w:color="auto" w:fill="auto"/>
                  <w:noWrap/>
                  <w:vAlign w:val="bottom"/>
                </w:tcPr>
                <w:p>
                  <w:pPr>
                    <w:spacing w:after="0" w:line="240" w:lineRule="auto"/>
                    <w:ind w:right="144"/>
                    <w:textAlignment w:val="bottom"/>
                    <w:rPr>
                      <w:rFonts w:ascii="Calibri" w:hAnsi="Calibri" w:eastAsia="等线" w:cs="Calibri"/>
                      <w:color w:val="000000"/>
                      <w:sz w:val="20"/>
                      <w:szCs w:val="20"/>
                      <w:lang w:eastAsia="zh-CN" w:bidi="ar"/>
                    </w:rPr>
                  </w:pPr>
                </w:p>
              </w:tc>
            </w:tr>
          </w:tbl>
          <w:p>
            <w:pPr>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p>
        </w:tc>
      </w:tr>
    </w:tbl>
    <w:p>
      <w:pPr>
        <w:spacing w:after="0" w:line="240" w:lineRule="auto"/>
        <w:ind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 xml:space="preserve">Indirect Cost Rate </w:t>
            </w:r>
            <w:r>
              <w:rPr>
                <w:rFonts w:eastAsia="Arial,Times New Roman" w:cstheme="minorHAnsi"/>
                <w:b/>
                <w:bCs/>
              </w:rPr>
              <w:t>– Chinese Investigator to Complete</w:t>
            </w:r>
          </w:p>
        </w:tc>
      </w:tr>
    </w:tbl>
    <w:p>
      <w:pPr>
        <w:spacing w:after="0" w:line="240" w:lineRule="auto"/>
        <w:ind w:right="144"/>
        <w:rPr>
          <w:rFonts w:eastAsia="Arial" w:cstheme="minorHAnsi"/>
          <w:b/>
          <w:bCs/>
        </w:rPr>
      </w:pPr>
      <w:r>
        <w:rPr>
          <w:rFonts w:eastAsia="Arial" w:cstheme="minorHAnsi"/>
          <w:b/>
          <w:bCs/>
        </w:rPr>
        <w:t>Briefly explain the indirect cost rate being charged on this project and the rationale and assumptions behind it.</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1016"/>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249" w:hRule="atLeast"/>
        </w:trPr>
        <w:tc>
          <w:tcPr>
            <w:tcW w:w="11055"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p>
            <w:pPr>
              <w:spacing w:after="0" w:line="240" w:lineRule="auto"/>
              <w:ind w:right="144"/>
              <w:rPr>
                <w:rFonts w:cstheme="minorHAnsi"/>
                <w:color w:val="404040" w:themeColor="text1" w:themeTint="BF"/>
                <w14:textFill>
                  <w14:solidFill>
                    <w14:schemeClr w14:val="tx1">
                      <w14:lumMod w14:val="75000"/>
                      <w14:lumOff w14:val="25000"/>
                    </w14:schemeClr>
                  </w14:solidFill>
                </w14:textFill>
              </w:rPr>
            </w:pPr>
          </w:p>
        </w:tc>
      </w:tr>
    </w:tbl>
    <w:p>
      <w:pPr>
        <w:spacing w:after="0" w:line="240" w:lineRule="auto"/>
        <w:ind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CellMar>
            <w:top w:w="0" w:type="dxa"/>
            <w:left w:w="108" w:type="dxa"/>
            <w:bottom w:w="0" w:type="dxa"/>
            <w:right w:w="108" w:type="dxa"/>
          </w:tblCellMar>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 xml:space="preserve">Other Sources of Support for this Project </w:t>
            </w:r>
            <w:r>
              <w:rPr>
                <w:rFonts w:eastAsia="Arial,Times New Roman" w:cstheme="minorHAnsi"/>
                <w:b/>
                <w:bCs/>
              </w:rPr>
              <w:t>- Chinese Investigator to Complete</w:t>
            </w:r>
          </w:p>
        </w:tc>
      </w:tr>
    </w:tbl>
    <w:p>
      <w:pPr>
        <w:spacing w:after="0" w:line="240" w:lineRule="auto"/>
        <w:ind w:right="144"/>
        <w:rPr>
          <w:rFonts w:cstheme="minorHAnsi"/>
          <w:b/>
        </w:rPr>
      </w:pPr>
      <w:r>
        <w:rPr>
          <w:rFonts w:eastAsia="Arial" w:cstheme="minorHAnsi"/>
          <w:b/>
          <w:bCs/>
        </w:rPr>
        <w:t xml:space="preserve">If You are requesting funding from the foundation for only a portion of this Project and will depend on funds from other sources, please describe Your contingency plans if full Project funding does not become available. If You have applied for funding from other sources which overlap with the funding requested in this proposal, please indicate the nature and timing of that potential funding. Any expected in-kind contributions (e.g. drug donations, personnel time) should be included in the description. </w:t>
      </w:r>
    </w:p>
    <w:p>
      <w:pPr>
        <w:spacing w:after="0" w:line="240" w:lineRule="auto"/>
        <w:ind w:right="144"/>
        <w:rPr>
          <w:rFonts w:cstheme="minorHAnsi"/>
          <w:b/>
        </w:rPr>
      </w:pPr>
      <w:r>
        <w:rPr>
          <w:rFonts w:eastAsia="Arial" w:cstheme="minorHAnsi"/>
        </w:rPr>
        <w:t>NOTE: Names of the other sources and their expected dollar (RMB) contributions should be included on the ‘Financial Summary &amp; Reporting’ sheet of the budget in the Funding Plan table.</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770"/>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267" w:hRule="atLeast"/>
        </w:trPr>
        <w:tc>
          <w:tcPr>
            <w:tcW w:w="10770"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p>
            <w:pPr>
              <w:spacing w:after="0" w:line="240" w:lineRule="auto"/>
              <w:ind w:right="144"/>
              <w:rPr>
                <w:rFonts w:cstheme="minorHAnsi"/>
                <w:lang w:eastAsia="zh-CN"/>
              </w:rPr>
            </w:pPr>
          </w:p>
        </w:tc>
      </w:tr>
    </w:tbl>
    <w:p>
      <w:pPr>
        <w:spacing w:after="0" w:line="240" w:lineRule="auto"/>
        <w:ind w:right="144"/>
        <w:rPr>
          <w:rFonts w:eastAsia="Calibri"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0CECE" w:themeFill="background2" w:themeFillShade="E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D0CECE" w:themeFill="background2" w:themeFillShade="E6"/>
        </w:tblPrEx>
        <w:trPr>
          <w:trHeight w:val="360" w:hRule="atLeast"/>
        </w:trPr>
        <w:tc>
          <w:tcPr>
            <w:tcW w:w="10800" w:type="dxa"/>
            <w:shd w:val="clear" w:color="auto" w:fill="D0CECE" w:themeFill="background2" w:themeFillShade="E6"/>
            <w:vAlign w:val="center"/>
          </w:tcPr>
          <w:p>
            <w:pPr>
              <w:keepNext/>
              <w:spacing w:after="0" w:line="240" w:lineRule="auto"/>
              <w:ind w:right="144"/>
              <w:rPr>
                <w:rFonts w:eastAsia="Arial" w:cstheme="minorHAnsi"/>
                <w:b/>
                <w:bCs/>
              </w:rPr>
            </w:pPr>
            <w:r>
              <w:rPr>
                <w:rFonts w:eastAsia="Arial" w:cstheme="minorHAnsi"/>
                <w:b/>
                <w:bCs/>
              </w:rPr>
              <w:t>Geography Served</w:t>
            </w:r>
            <w:r>
              <w:rPr>
                <w:rFonts w:eastAsia="Arial,Times New Roman" w:cstheme="minorHAnsi"/>
                <w:b/>
                <w:bCs/>
              </w:rPr>
              <w:t xml:space="preserve">- </w:t>
            </w:r>
            <w:r>
              <w:rPr>
                <w:rFonts w:eastAsia="Arial" w:cstheme="minorHAnsi"/>
                <w:b/>
                <w:bCs/>
              </w:rPr>
              <w:t>Chinese Investigator to Complete</w:t>
            </w:r>
          </w:p>
        </w:tc>
      </w:tr>
    </w:tbl>
    <w:p>
      <w:pPr>
        <w:spacing w:after="0" w:line="240" w:lineRule="auto"/>
        <w:ind w:right="144"/>
        <w:rPr>
          <w:rFonts w:cstheme="minorHAnsi"/>
          <w:lang w:eastAsia="zh-CN"/>
        </w:rPr>
      </w:pPr>
      <w:r>
        <w:rPr>
          <w:rFonts w:cstheme="minorHAnsi"/>
          <w:b/>
        </w:rPr>
        <w:t xml:space="preserve">List all countries and sub-regions/states that would benefit from this work and associated RMB Yuan amounts. If areas to be served include the United States, indicate city and state. </w:t>
      </w:r>
      <w:r>
        <w:rPr>
          <w:rFonts w:cstheme="minorHAnsi"/>
        </w:rPr>
        <w:t xml:space="preserve">Add more rows as needed. More information about Geographic Areas to Be Served can be found </w:t>
      </w:r>
      <w:r>
        <w:fldChar w:fldCharType="begin"/>
      </w:r>
      <w:r>
        <w:instrText xml:space="preserve"> HYPERLINK "https://docs.gatesfoundation.org/documents/geography-frequently-asked-questions.pdf" </w:instrText>
      </w:r>
      <w:r>
        <w:fldChar w:fldCharType="separate"/>
      </w:r>
      <w:r>
        <w:rPr>
          <w:rStyle w:val="16"/>
          <w:rFonts w:cstheme="minorHAnsi"/>
          <w:color w:val="0070C0"/>
        </w:rPr>
        <w:t>here</w:t>
      </w:r>
      <w:r>
        <w:rPr>
          <w:rStyle w:val="16"/>
          <w:rFonts w:cstheme="minorHAnsi"/>
          <w:color w:val="0070C0"/>
        </w:rPr>
        <w:fldChar w:fldCharType="end"/>
      </w:r>
      <w:r>
        <w:rPr>
          <w:rFonts w:cstheme="minorHAnsi"/>
        </w:rPr>
        <w:t>.</w:t>
      </w:r>
      <w:r>
        <w:t xml:space="preserve"> </w:t>
      </w:r>
      <w:r>
        <w:rPr>
          <w:rFonts w:cstheme="minorHAnsi"/>
        </w:rPr>
        <w:t>Add more rows as needed.</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5381"/>
        <w:gridCol w:w="5389"/>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339" w:hRule="atLeast"/>
        </w:trPr>
        <w:tc>
          <w:tcPr>
            <w:tcW w:w="5381" w:type="dxa"/>
          </w:tcPr>
          <w:p>
            <w:pPr>
              <w:spacing w:after="0" w:line="240" w:lineRule="auto"/>
              <w:ind w:left="72" w:right="144"/>
              <w:rPr>
                <w:rFonts w:cstheme="minorHAnsi"/>
                <w:b/>
                <w:color w:val="7F7F7F" w:themeColor="background1" w:themeShade="80"/>
              </w:rPr>
            </w:pPr>
            <w:r>
              <w:rPr>
                <w:rFonts w:eastAsia="Arial" w:cstheme="minorHAnsi"/>
                <w:b/>
                <w:bCs/>
              </w:rPr>
              <w:t>Location</w:t>
            </w:r>
          </w:p>
        </w:tc>
        <w:tc>
          <w:tcPr>
            <w:tcW w:w="5389" w:type="dxa"/>
          </w:tcPr>
          <w:p>
            <w:pPr>
              <w:spacing w:after="0" w:line="240" w:lineRule="auto"/>
              <w:ind w:left="72" w:right="144"/>
              <w:rPr>
                <w:rFonts w:cstheme="minorHAnsi"/>
                <w:b/>
                <w:color w:val="7F7F7F" w:themeColor="background1" w:themeShade="80"/>
              </w:rPr>
            </w:pPr>
            <w:r>
              <w:rPr>
                <w:rFonts w:eastAsia="Arial" w:cstheme="minorHAnsi"/>
                <w:b/>
                <w:bCs/>
              </w:rPr>
              <w:t>Foundation Funding (RMB)</w:t>
            </w:r>
          </w:p>
        </w:tc>
      </w:tr>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240" w:hRule="atLeast"/>
        </w:trPr>
        <w:tc>
          <w:tcPr>
            <w:tcW w:w="5381" w:type="dxa"/>
          </w:tcPr>
          <w:p>
            <w:pPr>
              <w:tabs>
                <w:tab w:val="right" w:pos="9948"/>
              </w:tabs>
              <w:spacing w:after="0" w:line="240" w:lineRule="auto"/>
              <w:ind w:left="144" w:right="144"/>
              <w:rPr>
                <w:rFonts w:cstheme="minorHAnsi"/>
              </w:rPr>
            </w:pPr>
          </w:p>
        </w:tc>
        <w:tc>
          <w:tcPr>
            <w:tcW w:w="5389" w:type="dxa"/>
          </w:tcPr>
          <w:p>
            <w:pPr>
              <w:tabs>
                <w:tab w:val="right" w:pos="9948"/>
              </w:tabs>
              <w:spacing w:after="0" w:line="240" w:lineRule="auto"/>
              <w:ind w:left="144" w:right="144"/>
              <w:rPr>
                <w:rFonts w:cstheme="minorHAnsi"/>
              </w:rPr>
            </w:pPr>
          </w:p>
        </w:tc>
      </w:tr>
    </w:tbl>
    <w:p>
      <w:pPr>
        <w:tabs>
          <w:tab w:val="left" w:pos="1485"/>
        </w:tabs>
        <w:spacing w:after="0" w:line="240" w:lineRule="auto"/>
        <w:ind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CellMar>
            <w:top w:w="0" w:type="dxa"/>
            <w:left w:w="108" w:type="dxa"/>
            <w:bottom w:w="0" w:type="dxa"/>
            <w:right w:w="108" w:type="dxa"/>
          </w:tblCellMar>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 xml:space="preserve">Location of Work </w:t>
            </w:r>
            <w:r>
              <w:rPr>
                <w:rFonts w:eastAsia="Arial,Times New Roman" w:cstheme="minorHAnsi"/>
                <w:b/>
                <w:bCs/>
              </w:rPr>
              <w:t xml:space="preserve">- Chinese Investigator to Complete </w:t>
            </w:r>
          </w:p>
        </w:tc>
      </w:tr>
    </w:tbl>
    <w:p>
      <w:pPr>
        <w:spacing w:after="0" w:line="240" w:lineRule="auto"/>
        <w:ind w:right="144"/>
        <w:rPr>
          <w:rFonts w:cstheme="minorHAnsi"/>
          <w:lang w:eastAsia="zh-CN"/>
        </w:rPr>
      </w:pPr>
      <w:r>
        <w:rPr>
          <w:rFonts w:eastAsia="Arial" w:cstheme="minorHAnsi"/>
          <w:b/>
          <w:bCs/>
        </w:rPr>
        <w:t xml:space="preserve">List all countries and sub-regions/states where this work would be performed and associated RMB Yuan amounts. If location of work includes the United States, indicate city and state. </w:t>
      </w:r>
      <w:r>
        <w:rPr>
          <w:rFonts w:eastAsia="Arial" w:cstheme="minorHAnsi"/>
        </w:rPr>
        <w:t xml:space="preserve">Add more rows as needed. More information about Geographic Location of Work can be found </w:t>
      </w:r>
      <w:r>
        <w:fldChar w:fldCharType="begin"/>
      </w:r>
      <w:r>
        <w:instrText xml:space="preserve"> HYPERLINK "https://docs.gatesfoundation.org/documents/geography-frequently-asked-questions.pdf" </w:instrText>
      </w:r>
      <w:r>
        <w:fldChar w:fldCharType="separate"/>
      </w:r>
      <w:r>
        <w:rPr>
          <w:rStyle w:val="16"/>
          <w:rFonts w:eastAsia="Arial" w:cstheme="minorHAnsi"/>
          <w:color w:val="0070C0"/>
        </w:rPr>
        <w:t>here</w:t>
      </w:r>
      <w:r>
        <w:rPr>
          <w:rStyle w:val="16"/>
          <w:rFonts w:eastAsia="Arial" w:cstheme="minorHAnsi"/>
          <w:color w:val="0070C0"/>
        </w:rPr>
        <w:fldChar w:fldCharType="end"/>
      </w:r>
      <w:r>
        <w:rPr>
          <w:rFonts w:eastAsia="Arial" w:cstheme="minorHAnsi"/>
        </w:rPr>
        <w:t>.</w:t>
      </w:r>
    </w:p>
    <w:tbl>
      <w:tblPr>
        <w:tblStyle w:val="12"/>
        <w:tblW w:w="10770" w:type="dxa"/>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5381"/>
        <w:gridCol w:w="5389"/>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285" w:hRule="atLeast"/>
        </w:trPr>
        <w:tc>
          <w:tcPr>
            <w:tcW w:w="5381" w:type="dxa"/>
          </w:tcPr>
          <w:p>
            <w:pPr>
              <w:spacing w:after="0" w:line="240" w:lineRule="auto"/>
              <w:ind w:left="72" w:right="144"/>
              <w:rPr>
                <w:rFonts w:cstheme="minorHAnsi"/>
                <w:b/>
              </w:rPr>
            </w:pPr>
            <w:r>
              <w:rPr>
                <w:rFonts w:eastAsia="Arial" w:cstheme="minorHAnsi"/>
                <w:b/>
                <w:bCs/>
              </w:rPr>
              <w:t>Location</w:t>
            </w:r>
          </w:p>
        </w:tc>
        <w:tc>
          <w:tcPr>
            <w:tcW w:w="5389" w:type="dxa"/>
          </w:tcPr>
          <w:p>
            <w:pPr>
              <w:spacing w:after="0" w:line="240" w:lineRule="auto"/>
              <w:ind w:left="72" w:right="144"/>
              <w:rPr>
                <w:rFonts w:cstheme="minorHAnsi"/>
                <w:b/>
              </w:rPr>
            </w:pPr>
            <w:r>
              <w:rPr>
                <w:rFonts w:eastAsia="Arial" w:cstheme="minorHAnsi"/>
                <w:b/>
                <w:bCs/>
              </w:rPr>
              <w:t>Foundation Funding (RMB)</w:t>
            </w:r>
          </w:p>
        </w:tc>
      </w:tr>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240" w:hRule="atLeast"/>
        </w:trPr>
        <w:tc>
          <w:tcPr>
            <w:tcW w:w="5381" w:type="dxa"/>
          </w:tcPr>
          <w:p>
            <w:pPr>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p>
        </w:tc>
        <w:tc>
          <w:tcPr>
            <w:tcW w:w="5389" w:type="dxa"/>
          </w:tcPr>
          <w:p>
            <w:pPr>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p>
        </w:tc>
      </w:tr>
    </w:tbl>
    <w:p>
      <w:pPr>
        <w:spacing w:after="0" w:line="240" w:lineRule="auto"/>
        <w:ind w:right="144"/>
        <w:rPr>
          <w:rFonts w:eastAsia="Calibri" w:cstheme="minorHAnsi"/>
        </w:rPr>
      </w:pPr>
      <w:r>
        <w:rPr>
          <w:rFonts w:eastAsia="Calibri" w:cstheme="minorHAnsi"/>
        </w:rPr>
        <w:t xml:space="preserve">Many countries, including India, Vietnam and Bangladesh, require organizations conducting activities funded with foreign funds to comply with local registrations or other requirements. These restrictions may apply to funds you subgrant under this project. Please confirm that your organization will ensure compliance with any such requirements. </w:t>
      </w:r>
    </w:p>
    <w:p>
      <w:pPr>
        <w:spacing w:after="0" w:line="240" w:lineRule="auto"/>
        <w:ind w:left="720" w:right="144"/>
        <w:rPr>
          <w:rFonts w:cstheme="minorHAnsi"/>
          <w:lang w:eastAsia="zh-CN"/>
        </w:rPr>
      </w:pPr>
      <w:r>
        <w:rPr>
          <w:rFonts w:eastAsia="Calibri" w:cstheme="minorHAnsi"/>
        </w:rPr>
        <w:t>Confirmed</w:t>
      </w:r>
      <w:r>
        <w:rPr>
          <w:rFonts w:eastAsia="Calibri" w:cstheme="minorHAnsi"/>
          <w:u w:val="single"/>
        </w:rPr>
        <w:t xml:space="preserve"> __</w:t>
      </w:r>
    </w:p>
    <w:p>
      <w:pPr>
        <w:spacing w:after="0" w:line="240" w:lineRule="auto"/>
        <w:ind w:left="720" w:right="144"/>
        <w:rPr>
          <w:rFonts w:eastAsia="Calibri" w:cstheme="minorHAnsi"/>
        </w:rPr>
      </w:pPr>
      <w:r>
        <w:rPr>
          <w:rFonts w:eastAsia="Calibri" w:cstheme="minorHAnsi"/>
        </w:rPr>
        <w:t>Not applicable ____ (please explain)</w:t>
      </w:r>
    </w:p>
    <w:p>
      <w:pPr>
        <w:spacing w:after="0" w:line="240" w:lineRule="auto"/>
        <w:ind w:right="144"/>
        <w:rPr>
          <w:rFonts w:cstheme="minorHAnsi"/>
          <w:lang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90" w:type="dxa"/>
            <w:tcBorders>
              <w:top w:val="single" w:color="auto" w:sz="4" w:space="0"/>
              <w:left w:val="nil"/>
              <w:bottom w:val="single" w:color="auto" w:sz="4" w:space="0"/>
              <w:right w:val="nil"/>
            </w:tcBorders>
          </w:tcPr>
          <w:p>
            <w:pPr>
              <w:spacing w:after="0" w:line="240" w:lineRule="auto"/>
              <w:ind w:right="144"/>
              <w:rPr>
                <w:rFonts w:cstheme="minorHAnsi"/>
                <w:b/>
                <w:bCs/>
              </w:rPr>
            </w:pPr>
            <w:r>
              <w:rPr>
                <w:rFonts w:cstheme="minorHAnsi"/>
                <w:b/>
                <w:bCs/>
              </w:rPr>
              <w:t xml:space="preserve">SECTION D – ROLES &amp; RESPONSIBILITIES </w:t>
            </w:r>
          </w:p>
        </w:tc>
      </w:tr>
    </w:tbl>
    <w:p>
      <w:pPr>
        <w:spacing w:after="0" w:line="240" w:lineRule="auto"/>
        <w:ind w:right="144"/>
        <w:rPr>
          <w:rFonts w:eastAsia="Calibri"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 xml:space="preserve">Conduct and Control of the Project </w:t>
            </w:r>
            <w:r>
              <w:rPr>
                <w:rFonts w:eastAsia="Arial,Times New Roman" w:cstheme="minorHAnsi"/>
                <w:b/>
                <w:bCs/>
              </w:rPr>
              <w:t>- Chinese Investigator to Complete</w:t>
            </w:r>
          </w:p>
        </w:tc>
      </w:tr>
    </w:tbl>
    <w:p>
      <w:pPr>
        <w:spacing w:after="0" w:line="240" w:lineRule="auto"/>
        <w:ind w:right="144"/>
        <w:textAlignment w:val="center"/>
        <w:rPr>
          <w:rStyle w:val="28"/>
          <w:rFonts w:cstheme="minorHAnsi"/>
          <w:color w:val="000000"/>
          <w:shd w:val="clear" w:color="auto" w:fill="FFFFFF"/>
        </w:rPr>
      </w:pPr>
      <w:r>
        <w:rPr>
          <w:rStyle w:val="27"/>
          <w:rFonts w:cstheme="minorHAnsi"/>
          <w:i/>
          <w:iCs/>
          <w:color w:val="000000"/>
          <w:shd w:val="clear" w:color="auto" w:fill="FFFFFF"/>
        </w:rPr>
        <w:t>In answering the questions in this section, please consider all Project activities, such as those involving: confidential or protected information (including personally identifiable information or protected health information); the inclusion of children or vulnerable populations; research involving human subjects; clinical trials; post-approval studies; field trials; experimental medicine; provision of medical services (diagnostic, prophylactic or treatment); product development; use of genetically modified organisms, human tissue, animals, radioactive isotopes, pathogenic organisms, recombinant nucleic acids, select agents or toxins (</w:t>
      </w:r>
      <w:r>
        <w:fldChar w:fldCharType="begin"/>
      </w:r>
      <w:r>
        <w:instrText xml:space="preserve"> HYPERLINK "http://www.selectagents.gov/" \t "_blank" </w:instrText>
      </w:r>
      <w:r>
        <w:fldChar w:fldCharType="separate"/>
      </w:r>
      <w:r>
        <w:rPr>
          <w:rStyle w:val="27"/>
          <w:rFonts w:cstheme="minorHAnsi"/>
          <w:i/>
          <w:iCs/>
          <w:color w:val="5291A8"/>
          <w:u w:val="single"/>
          <w:shd w:val="clear" w:color="auto" w:fill="FFFFFF"/>
        </w:rPr>
        <w:t>www.selectagents.gov</w:t>
      </w:r>
      <w:r>
        <w:rPr>
          <w:rStyle w:val="27"/>
          <w:rFonts w:cstheme="minorHAnsi"/>
          <w:i/>
          <w:iCs/>
          <w:color w:val="5291A8"/>
          <w:u w:val="single"/>
          <w:shd w:val="clear" w:color="auto" w:fill="FFFFFF"/>
        </w:rPr>
        <w:fldChar w:fldCharType="end"/>
      </w:r>
      <w:r>
        <w:rPr>
          <w:rStyle w:val="27"/>
          <w:rFonts w:cstheme="minorHAnsi"/>
          <w:i/>
          <w:iCs/>
          <w:color w:val="000000"/>
          <w:shd w:val="clear" w:color="auto" w:fill="FFFFFF"/>
        </w:rPr>
        <w:t>), dual-use technology (</w:t>
      </w:r>
      <w:r>
        <w:fldChar w:fldCharType="begin"/>
      </w:r>
      <w:r>
        <w:instrText xml:space="preserve"> HYPERLINK "http://export.gov/regulation/eg_main_018229.asp" \t "_blank" </w:instrText>
      </w:r>
      <w:r>
        <w:fldChar w:fldCharType="separate"/>
      </w:r>
      <w:r>
        <w:rPr>
          <w:rStyle w:val="27"/>
          <w:rFonts w:cstheme="minorHAnsi"/>
          <w:i/>
          <w:iCs/>
          <w:color w:val="5291A8"/>
          <w:u w:val="single"/>
          <w:shd w:val="clear" w:color="auto" w:fill="FFFFFF"/>
        </w:rPr>
        <w:t>http://export.gov/regulation/eg_main_018229.asp</w:t>
      </w:r>
      <w:r>
        <w:rPr>
          <w:rStyle w:val="27"/>
          <w:rFonts w:cstheme="minorHAnsi"/>
          <w:i/>
          <w:iCs/>
          <w:color w:val="5291A8"/>
          <w:u w:val="single"/>
          <w:shd w:val="clear" w:color="auto" w:fill="FFFFFF"/>
        </w:rPr>
        <w:fldChar w:fldCharType="end"/>
      </w:r>
      <w:r>
        <w:rPr>
          <w:rStyle w:val="27"/>
          <w:rFonts w:cstheme="minorHAnsi"/>
          <w:i/>
          <w:iCs/>
          <w:color w:val="000000"/>
          <w:shd w:val="clear" w:color="auto" w:fill="FFFFFF"/>
        </w:rPr>
        <w:t>), or any substance, organism, or material that is toxic or hazardous; use of aircraft, unmanned vehicle systems, drones or satellites; and the import, export, transfer, approvals, consents, records, data, specimens, images, and materials related to any of the forgoing.  </w:t>
      </w:r>
      <w:r>
        <w:rPr>
          <w:rStyle w:val="27"/>
          <w:rFonts w:cstheme="minorHAnsi"/>
          <w:color w:val="000000"/>
          <w:shd w:val="clear" w:color="auto" w:fill="FFFFFF"/>
        </w:rPr>
        <w:t> </w:t>
      </w:r>
      <w:r>
        <w:rPr>
          <w:rStyle w:val="28"/>
          <w:rFonts w:cstheme="minorHAnsi"/>
          <w:color w:val="000000"/>
          <w:shd w:val="clear" w:color="auto" w:fill="FFFFFF"/>
        </w:rPr>
        <w:t> </w:t>
      </w:r>
    </w:p>
    <w:p>
      <w:pPr>
        <w:pStyle w:val="19"/>
        <w:numPr>
          <w:ilvl w:val="0"/>
          <w:numId w:val="4"/>
        </w:numPr>
        <w:spacing w:after="0" w:line="240" w:lineRule="auto"/>
        <w:ind w:right="144"/>
        <w:textAlignment w:val="center"/>
        <w:rPr>
          <w:rFonts w:cstheme="minorHAnsi"/>
          <w:b/>
          <w:bCs/>
        </w:rPr>
      </w:pPr>
      <w:r>
        <w:rPr>
          <w:rFonts w:cstheme="minorHAnsi"/>
          <w:b/>
          <w:bCs/>
        </w:rPr>
        <w:t>Please confirm that Your organization:</w:t>
      </w:r>
    </w:p>
    <w:p>
      <w:pPr>
        <w:pStyle w:val="19"/>
        <w:numPr>
          <w:ilvl w:val="0"/>
          <w:numId w:val="5"/>
        </w:numPr>
        <w:spacing w:after="0" w:line="240" w:lineRule="auto"/>
        <w:ind w:right="144"/>
        <w:textAlignment w:val="baseline"/>
        <w:rPr>
          <w:rFonts w:eastAsia="Times New Roman" w:cstheme="minorHAnsi"/>
        </w:rPr>
      </w:pPr>
      <w:r>
        <w:rPr>
          <w:rFonts w:eastAsia="Times New Roman" w:cstheme="minorHAnsi"/>
          <w:b/>
          <w:bCs/>
        </w:rPr>
        <w:t>will maintain the expertise necessary to conduct, control, manage, and monitor all aspects of the Project in compliance with all applicable ethical, legal, regulatory, and safety requirements including applicable international, national, state, local, and institutional, school district or school network standards and policies and is responsible for determining and complying with these requirements and standards;</w:t>
      </w:r>
      <w:r>
        <w:rPr>
          <w:rFonts w:eastAsia="Times New Roman" w:cstheme="minorHAnsi"/>
        </w:rPr>
        <w:t> </w:t>
      </w:r>
    </w:p>
    <w:p>
      <w:pPr>
        <w:pStyle w:val="19"/>
        <w:numPr>
          <w:ilvl w:val="0"/>
          <w:numId w:val="5"/>
        </w:numPr>
        <w:spacing w:after="0" w:line="240" w:lineRule="auto"/>
        <w:ind w:right="144"/>
        <w:textAlignment w:val="baseline"/>
        <w:rPr>
          <w:rFonts w:eastAsia="Times New Roman" w:cstheme="minorHAnsi"/>
          <w:b/>
          <w:bCs/>
        </w:rPr>
      </w:pPr>
      <w:r>
        <w:rPr>
          <w:rFonts w:eastAsia="Times New Roman" w:cstheme="minorHAnsi"/>
          <w:b/>
          <w:bCs/>
        </w:rPr>
        <w:t>will not disclose any confidential or protected information to the Foundation without obtaining prior written approval from the foundation and all necessary consents to disclose such information;  </w:t>
      </w:r>
    </w:p>
    <w:p>
      <w:pPr>
        <w:pStyle w:val="19"/>
        <w:numPr>
          <w:ilvl w:val="0"/>
          <w:numId w:val="5"/>
        </w:numPr>
        <w:spacing w:after="0" w:line="240" w:lineRule="auto"/>
        <w:ind w:right="144"/>
        <w:textAlignment w:val="baseline"/>
        <w:rPr>
          <w:rFonts w:eastAsia="Times New Roman" w:cstheme="minorHAnsi"/>
          <w:b/>
          <w:bCs/>
        </w:rPr>
      </w:pPr>
      <w:r>
        <w:rPr>
          <w:rFonts w:eastAsia="Times New Roman" w:cstheme="minorHAnsi"/>
          <w:b/>
          <w:bCs/>
        </w:rPr>
        <w:t>acknowledges that any activities by the Foundation in reviewing documents, providing input or funding does not modify Your organization’s responsibility for determining and complying with all applicable ethical, legal, regulatory, and safety requirements for the Project in all places; </w:t>
      </w:r>
    </w:p>
    <w:p>
      <w:pPr>
        <w:pStyle w:val="19"/>
        <w:numPr>
          <w:ilvl w:val="0"/>
          <w:numId w:val="5"/>
        </w:numPr>
        <w:spacing w:after="0" w:line="240" w:lineRule="auto"/>
        <w:ind w:right="144"/>
        <w:textAlignment w:val="baseline"/>
        <w:rPr>
          <w:rFonts w:eastAsia="Times New Roman" w:cstheme="minorHAnsi"/>
          <w:b/>
          <w:bCs/>
        </w:rPr>
      </w:pPr>
      <w:r>
        <w:rPr>
          <w:rFonts w:eastAsia="Times New Roman" w:cstheme="minorHAnsi"/>
          <w:b/>
          <w:bCs/>
        </w:rPr>
        <w:t>is a government agency, public institution or multilateral organization or will otherwise maintain insurance coverage sufficient to cover the activities, risks, and potential omissions of the Project in accordance with generally-accepted standards and as required by law (for instance, general, professional, clinical trial, product liability, medical malpractice, workers' compensation, or otherwise); </w:t>
      </w:r>
    </w:p>
    <w:p>
      <w:pPr>
        <w:pStyle w:val="19"/>
        <w:numPr>
          <w:ilvl w:val="0"/>
          <w:numId w:val="5"/>
        </w:numPr>
        <w:spacing w:after="0" w:line="240" w:lineRule="auto"/>
        <w:ind w:right="144"/>
        <w:textAlignment w:val="baseline"/>
        <w:rPr>
          <w:rFonts w:eastAsia="Times New Roman" w:cstheme="minorHAnsi"/>
          <w:b/>
          <w:bCs/>
        </w:rPr>
      </w:pPr>
      <w:r>
        <w:rPr>
          <w:rFonts w:eastAsia="Times New Roman" w:cstheme="minorHAnsi"/>
          <w:b/>
          <w:bCs/>
        </w:rPr>
        <w:t>will not transfer any biological materials, chemicals, reagents, hazardous materials or the like to the Foundation.  </w:t>
      </w:r>
    </w:p>
    <w:p>
      <w:pPr>
        <w:tabs>
          <w:tab w:val="left" w:pos="630"/>
        </w:tabs>
        <w:spacing w:after="0" w:line="240" w:lineRule="auto"/>
        <w:ind w:left="360" w:right="144"/>
        <w:textAlignment w:val="baseline"/>
        <w:rPr>
          <w:rFonts w:eastAsia="Times New Roman" w:cstheme="minorHAnsi"/>
        </w:rPr>
      </w:pPr>
      <w:r>
        <w:rPr>
          <w:rFonts w:eastAsia="Times New Roman" w:cstheme="minorHAnsi"/>
          <w:b/>
          <w:bCs/>
        </w:rPr>
        <w:t>Confirmed </w:t>
      </w:r>
      <w:r>
        <w:rPr>
          <w:rFonts w:eastAsia="Times New Roman" w:cstheme="minorHAnsi"/>
          <w:b/>
          <w:bCs/>
          <w:u w:val="single"/>
        </w:rPr>
        <w:t>____</w:t>
      </w:r>
      <w:r>
        <w:rPr>
          <w:rFonts w:eastAsia="Times New Roman" w:cstheme="minorHAnsi"/>
        </w:rPr>
        <w:t> </w:t>
      </w:r>
    </w:p>
    <w:p>
      <w:pPr>
        <w:tabs>
          <w:tab w:val="left" w:pos="630"/>
        </w:tabs>
        <w:spacing w:after="0" w:line="240" w:lineRule="auto"/>
        <w:ind w:left="360" w:right="144"/>
        <w:textAlignment w:val="baseline"/>
        <w:rPr>
          <w:rFonts w:eastAsia="Times New Roman" w:cstheme="minorHAnsi"/>
        </w:rPr>
      </w:pPr>
      <w:r>
        <w:rPr>
          <w:rFonts w:eastAsia="Times New Roman" w:cstheme="minorHAnsi"/>
          <w:b/>
          <w:bCs/>
        </w:rPr>
        <w:t>Not confirmed </w:t>
      </w:r>
      <w:r>
        <w:rPr>
          <w:rFonts w:eastAsia="Times New Roman" w:cstheme="minorHAnsi"/>
          <w:b/>
          <w:bCs/>
          <w:u w:val="single"/>
        </w:rPr>
        <w:t>____</w:t>
      </w:r>
      <w:r>
        <w:rPr>
          <w:rFonts w:eastAsia="Times New Roman" w:cstheme="minorHAnsi"/>
          <w:b/>
          <w:bCs/>
        </w:rPr>
        <w:t> (please explain)</w:t>
      </w:r>
      <w:r>
        <w:rPr>
          <w:rFonts w:eastAsia="Times New Roman" w:cstheme="minorHAnsi"/>
        </w:rPr>
        <w:t> </w:t>
      </w:r>
    </w:p>
    <w:tbl>
      <w:tblPr>
        <w:tblStyle w:val="12"/>
        <w:tblW w:w="10440" w:type="dxa"/>
        <w:tblInd w:w="345"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0440"/>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432" w:hRule="atLeast"/>
        </w:trPr>
        <w:tc>
          <w:tcPr>
            <w:tcW w:w="10440" w:type="dxa"/>
          </w:tcPr>
          <w:p>
            <w:pPr>
              <w:spacing w:after="0" w:line="240" w:lineRule="auto"/>
              <w:ind w:right="144"/>
              <w:rPr>
                <w:rFonts w:cstheme="minorHAnsi"/>
                <w:color w:val="404040" w:themeColor="text1" w:themeTint="BF"/>
                <w14:textFill>
                  <w14:solidFill>
                    <w14:schemeClr w14:val="tx1">
                      <w14:lumMod w14:val="75000"/>
                      <w14:lumOff w14:val="25000"/>
                    </w14:schemeClr>
                  </w14:solidFill>
                </w14:textFill>
              </w:rPr>
            </w:pPr>
          </w:p>
        </w:tc>
      </w:tr>
    </w:tbl>
    <w:p>
      <w:pPr>
        <w:spacing w:after="0" w:line="240" w:lineRule="auto"/>
        <w:ind w:left="547" w:right="144" w:hanging="547"/>
        <w:rPr>
          <w:rFonts w:cstheme="minorHAnsi"/>
        </w:rPr>
      </w:pPr>
    </w:p>
    <w:tbl>
      <w:tblPr>
        <w:tblStyle w:val="11"/>
        <w:tblW w:w="11642" w:type="dxa"/>
        <w:tblInd w:w="165"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16"/>
        <w:gridCol w:w="1526"/>
        <w:gridCol w:w="1885"/>
        <w:gridCol w:w="50"/>
        <w:gridCol w:w="65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10" w:hRule="atLeast"/>
        </w:trPr>
        <w:tc>
          <w:tcPr>
            <w:tcW w:w="1616" w:type="dxa"/>
            <w:tcBorders>
              <w:top w:val="nil"/>
              <w:left w:val="single" w:color="D9D9D9" w:sz="12" w:space="0"/>
              <w:bottom w:val="single" w:color="D9D9D9" w:sz="12" w:space="0"/>
              <w:right w:val="single" w:color="D9D9D9" w:sz="12" w:space="0"/>
            </w:tcBorders>
            <w:shd w:val="clear" w:color="auto" w:fill="FEFEFE"/>
          </w:tcPr>
          <w:p>
            <w:pPr>
              <w:spacing w:after="0" w:line="240" w:lineRule="auto"/>
              <w:ind w:left="90" w:right="144"/>
              <w:textAlignment w:val="baseline"/>
              <w:rPr>
                <w:rFonts w:eastAsia="宋体" w:cstheme="minorHAnsi"/>
                <w:lang w:eastAsia="zh-CN"/>
              </w:rPr>
            </w:pPr>
            <w:r>
              <w:rPr>
                <w:rFonts w:eastAsia="Times New Roman" w:cstheme="minorHAnsi"/>
                <w:lang w:eastAsia="zh-CN"/>
              </w:rPr>
              <w:t>N/A</w:t>
            </w:r>
          </w:p>
        </w:tc>
        <w:tc>
          <w:tcPr>
            <w:tcW w:w="1526"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Times New Roman" w:cstheme="minorHAnsi"/>
              </w:rPr>
            </w:pPr>
            <w:r>
              <w:rPr>
                <w:rFonts w:eastAsia="Times New Roman" w:cstheme="minorHAnsi"/>
                <w:b/>
                <w:bCs/>
                <w:u w:val="single"/>
              </w:rPr>
              <w:t>__</w:t>
            </w:r>
            <w:r>
              <w:rPr>
                <w:rFonts w:eastAsia="Times New Roman" w:cstheme="minorHAnsi"/>
              </w:rPr>
              <w:t> Yes </w:t>
            </w:r>
          </w:p>
          <w:p>
            <w:pPr>
              <w:spacing w:after="0" w:line="240" w:lineRule="auto"/>
              <w:ind w:left="72" w:right="144"/>
              <w:textAlignment w:val="baseline"/>
              <w:rPr>
                <w:rFonts w:eastAsia="Times New Roman" w:cstheme="minorHAnsi"/>
              </w:rPr>
            </w:pPr>
            <w:r>
              <w:rPr>
                <w:rFonts w:eastAsia="Times New Roman" w:cstheme="minorHAnsi"/>
                <w:b/>
                <w:bCs/>
                <w:u w:val="single"/>
              </w:rPr>
              <w:t>__</w:t>
            </w:r>
            <w:r>
              <w:rPr>
                <w:rFonts w:eastAsia="Times New Roman" w:cstheme="minorHAnsi"/>
              </w:rPr>
              <w:t> No </w:t>
            </w:r>
          </w:p>
        </w:tc>
        <w:tc>
          <w:tcPr>
            <w:tcW w:w="1885" w:type="dxa"/>
            <w:tcBorders>
              <w:top w:val="nil"/>
              <w:left w:val="nil"/>
              <w:bottom w:val="single" w:color="D9D9D9" w:sz="12" w:space="0"/>
              <w:right w:val="single" w:color="D9D9D9" w:sz="12" w:space="0"/>
            </w:tcBorders>
            <w:shd w:val="clear" w:color="auto" w:fill="FEFEFE"/>
          </w:tcPr>
          <w:p>
            <w:pPr>
              <w:spacing w:after="0" w:line="240" w:lineRule="auto"/>
              <w:ind w:left="105" w:right="144"/>
              <w:textAlignment w:val="baseline"/>
              <w:rPr>
                <w:rFonts w:eastAsia="Times New Roman" w:cstheme="minorHAnsi"/>
              </w:rPr>
            </w:pPr>
            <w:r>
              <w:rPr>
                <w:rFonts w:eastAsia="Times New Roman" w:cstheme="minorHAnsi"/>
                <w:b/>
                <w:bCs/>
                <w:u w:val="single"/>
              </w:rPr>
              <w:t>_</w:t>
            </w:r>
            <w:r>
              <w:rPr>
                <w:rFonts w:eastAsia="Times New Roman" w:cstheme="minorHAnsi"/>
                <w:b/>
                <w:bCs/>
              </w:rPr>
              <w:t> </w:t>
            </w:r>
            <w:r>
              <w:rPr>
                <w:rFonts w:eastAsia="Times New Roman" w:cstheme="minorHAnsi"/>
              </w:rPr>
              <w:t>Yes </w:t>
            </w:r>
          </w:p>
          <w:p>
            <w:pPr>
              <w:spacing w:after="0" w:line="240" w:lineRule="auto"/>
              <w:ind w:left="105" w:right="144"/>
              <w:textAlignment w:val="baseline"/>
              <w:rPr>
                <w:rFonts w:eastAsia="Times New Roman" w:cstheme="minorHAnsi"/>
              </w:rPr>
            </w:pPr>
            <w:r>
              <w:rPr>
                <w:rFonts w:eastAsia="Times New Roman" w:cstheme="minorHAnsi"/>
                <w:b/>
                <w:bCs/>
                <w:u w:val="single"/>
              </w:rPr>
              <w:t>_</w:t>
            </w:r>
            <w:r>
              <w:rPr>
                <w:rFonts w:eastAsia="Times New Roman" w:cstheme="minorHAnsi"/>
                <w:b/>
                <w:bCs/>
              </w:rPr>
              <w:t> </w:t>
            </w:r>
            <w:r>
              <w:rPr>
                <w:rFonts w:eastAsia="Times New Roman" w:cstheme="minorHAnsi"/>
              </w:rPr>
              <w:t>No </w:t>
            </w:r>
          </w:p>
        </w:tc>
        <w:tc>
          <w:tcPr>
            <w:tcW w:w="50"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宋体" w:cstheme="minorHAnsi"/>
                <w:lang w:eastAsia="zh-CN"/>
              </w:rPr>
            </w:pPr>
          </w:p>
        </w:tc>
        <w:tc>
          <w:tcPr>
            <w:tcW w:w="6565"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宋体" w:cstheme="minorHAnsi"/>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30" w:hRule="atLeast"/>
        </w:trPr>
        <w:tc>
          <w:tcPr>
            <w:tcW w:w="1616" w:type="dxa"/>
            <w:tcBorders>
              <w:top w:val="nil"/>
              <w:left w:val="single" w:color="D9D9D9" w:sz="12" w:space="0"/>
              <w:bottom w:val="single" w:color="D9D9D9" w:sz="12" w:space="0"/>
              <w:right w:val="single" w:color="D9D9D9" w:sz="12" w:space="0"/>
            </w:tcBorders>
            <w:shd w:val="clear" w:color="auto" w:fill="FEFEFE"/>
          </w:tcPr>
          <w:p>
            <w:pPr>
              <w:spacing w:after="0" w:line="240" w:lineRule="auto"/>
              <w:ind w:left="90" w:right="144"/>
              <w:textAlignment w:val="baseline"/>
              <w:rPr>
                <w:rFonts w:eastAsia="宋体" w:cstheme="minorHAnsi"/>
                <w:lang w:eastAsia="zh-CN"/>
              </w:rPr>
            </w:pPr>
          </w:p>
        </w:tc>
        <w:tc>
          <w:tcPr>
            <w:tcW w:w="1526"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Times New Roman" w:cstheme="minorHAnsi"/>
              </w:rPr>
            </w:pPr>
            <w:r>
              <w:rPr>
                <w:rFonts w:eastAsia="Times New Roman" w:cstheme="minorHAnsi"/>
                <w:b/>
                <w:bCs/>
                <w:u w:val="single"/>
              </w:rPr>
              <w:t>__</w:t>
            </w:r>
            <w:r>
              <w:rPr>
                <w:rFonts w:eastAsia="Times New Roman" w:cstheme="minorHAnsi"/>
              </w:rPr>
              <w:t> Yes </w:t>
            </w:r>
          </w:p>
          <w:p>
            <w:pPr>
              <w:spacing w:after="0" w:line="240" w:lineRule="auto"/>
              <w:ind w:left="75" w:right="144"/>
              <w:textAlignment w:val="baseline"/>
              <w:rPr>
                <w:rFonts w:eastAsia="Times New Roman" w:cstheme="minorHAnsi"/>
              </w:rPr>
            </w:pPr>
            <w:r>
              <w:rPr>
                <w:rFonts w:eastAsia="Times New Roman" w:cstheme="minorHAnsi"/>
                <w:b/>
                <w:bCs/>
                <w:u w:val="single"/>
              </w:rPr>
              <w:t xml:space="preserve">_  </w:t>
            </w:r>
            <w:r>
              <w:rPr>
                <w:rFonts w:eastAsia="Times New Roman" w:cstheme="minorHAnsi"/>
              </w:rPr>
              <w:t> No </w:t>
            </w:r>
          </w:p>
        </w:tc>
        <w:tc>
          <w:tcPr>
            <w:tcW w:w="1885" w:type="dxa"/>
            <w:tcBorders>
              <w:top w:val="nil"/>
              <w:left w:val="nil"/>
              <w:bottom w:val="single" w:color="D9D9D9" w:sz="12" w:space="0"/>
              <w:right w:val="single" w:color="D9D9D9" w:sz="12" w:space="0"/>
            </w:tcBorders>
            <w:shd w:val="clear" w:color="auto" w:fill="FEFEFE"/>
          </w:tcPr>
          <w:p>
            <w:pPr>
              <w:spacing w:after="0" w:line="240" w:lineRule="auto"/>
              <w:ind w:left="105" w:right="144"/>
              <w:textAlignment w:val="baseline"/>
              <w:rPr>
                <w:rFonts w:eastAsia="Times New Roman" w:cstheme="minorHAnsi"/>
              </w:rPr>
            </w:pPr>
            <w:r>
              <w:rPr>
                <w:rFonts w:eastAsia="Times New Roman" w:cstheme="minorHAnsi"/>
                <w:b/>
                <w:bCs/>
                <w:u w:val="single"/>
              </w:rPr>
              <w:t>_</w:t>
            </w:r>
            <w:r>
              <w:rPr>
                <w:rFonts w:eastAsia="Times New Roman" w:cstheme="minorHAnsi"/>
                <w:b/>
                <w:bCs/>
              </w:rPr>
              <w:t> </w:t>
            </w:r>
            <w:r>
              <w:rPr>
                <w:rFonts w:eastAsia="Times New Roman" w:cstheme="minorHAnsi"/>
              </w:rPr>
              <w:t>Yes </w:t>
            </w:r>
          </w:p>
          <w:p>
            <w:pPr>
              <w:spacing w:after="0" w:line="240" w:lineRule="auto"/>
              <w:ind w:left="105" w:right="144"/>
              <w:textAlignment w:val="baseline"/>
              <w:rPr>
                <w:rFonts w:eastAsia="Times New Roman" w:cstheme="minorHAnsi"/>
              </w:rPr>
            </w:pPr>
            <w:r>
              <w:rPr>
                <w:rFonts w:eastAsia="Times New Roman" w:cstheme="minorHAnsi"/>
                <w:b/>
                <w:bCs/>
                <w:u w:val="single"/>
              </w:rPr>
              <w:t>_</w:t>
            </w:r>
            <w:r>
              <w:rPr>
                <w:rFonts w:eastAsia="Times New Roman" w:cstheme="minorHAnsi"/>
              </w:rPr>
              <w:t> No </w:t>
            </w:r>
          </w:p>
        </w:tc>
        <w:tc>
          <w:tcPr>
            <w:tcW w:w="50"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Times New Roman" w:cstheme="minorHAnsi"/>
              </w:rPr>
            </w:pPr>
          </w:p>
        </w:tc>
        <w:tc>
          <w:tcPr>
            <w:tcW w:w="6565" w:type="dxa"/>
            <w:tcBorders>
              <w:top w:val="nil"/>
              <w:left w:val="nil"/>
              <w:bottom w:val="single" w:color="D9D9D9" w:sz="12" w:space="0"/>
              <w:right w:val="single" w:color="D9D9D9" w:sz="12" w:space="0"/>
            </w:tcBorders>
            <w:shd w:val="clear" w:color="auto" w:fill="FEFEFE"/>
          </w:tcPr>
          <w:p>
            <w:pPr>
              <w:spacing w:after="0" w:line="240" w:lineRule="auto"/>
              <w:ind w:left="75" w:right="144"/>
              <w:textAlignment w:val="baseline"/>
              <w:rPr>
                <w:rFonts w:eastAsia="Times New Roman" w:cstheme="minorHAnsi"/>
              </w:rPr>
            </w:pPr>
          </w:p>
        </w:tc>
      </w:tr>
    </w:tbl>
    <w:p>
      <w:pPr>
        <w:spacing w:after="0" w:line="240" w:lineRule="auto"/>
        <w:ind w:right="144"/>
        <w:rPr>
          <w:rFonts w:eastAsia="Calibri" w:cstheme="minorHAnsi"/>
        </w:rPr>
      </w:pPr>
      <w:r>
        <w:rPr>
          <w:rStyle w:val="28"/>
          <w:rFonts w:cstheme="minorHAnsi"/>
          <w:color w:val="000000"/>
          <w:shd w:val="clear" w:color="auto" w:fill="FFFFFF"/>
        </w:rPr>
        <w:t>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790" w:type="dxa"/>
            <w:tcBorders>
              <w:top w:val="single" w:color="auto" w:sz="4" w:space="0"/>
              <w:left w:val="nil"/>
              <w:bottom w:val="single" w:color="auto" w:sz="4" w:space="0"/>
              <w:right w:val="nil"/>
            </w:tcBorders>
          </w:tcPr>
          <w:p>
            <w:pPr>
              <w:spacing w:after="0" w:line="240" w:lineRule="auto"/>
              <w:ind w:right="144"/>
              <w:rPr>
                <w:rFonts w:cstheme="minorHAnsi"/>
                <w:b/>
                <w:bCs/>
              </w:rPr>
            </w:pPr>
            <w:r>
              <w:rPr>
                <w:rFonts w:cstheme="minorHAnsi"/>
                <w:b/>
                <w:bCs/>
              </w:rPr>
              <w:t>SECTION D – PROJECT-SPECIFIC QUESTIONS</w:t>
            </w:r>
          </w:p>
        </w:tc>
      </w:tr>
    </w:tbl>
    <w:p>
      <w:pPr>
        <w:pStyle w:val="19"/>
        <w:widowControl w:val="0"/>
        <w:tabs>
          <w:tab w:val="left" w:pos="1440"/>
          <w:tab w:val="left" w:pos="5580"/>
          <w:tab w:val="left" w:pos="6480"/>
        </w:tabs>
        <w:spacing w:after="0" w:line="240" w:lineRule="auto"/>
        <w:ind w:left="360"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60" w:hRule="atLeast"/>
        </w:trPr>
        <w:tc>
          <w:tcPr>
            <w:tcW w:w="10800" w:type="dxa"/>
            <w:shd w:val="clear" w:color="auto" w:fill="D0CECE"/>
            <w:vAlign w:val="center"/>
          </w:tcPr>
          <w:p>
            <w:pPr>
              <w:keepNext/>
              <w:spacing w:after="0" w:line="240" w:lineRule="auto"/>
              <w:ind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Measurement and Evaluation -</w:t>
            </w:r>
            <w:r>
              <w:rPr>
                <w:rFonts w:eastAsia="Arial,Times New Roman" w:cstheme="minorHAnsi"/>
                <w:b/>
                <w:bCs/>
              </w:rPr>
              <w:t xml:space="preserve"> Chinese Investigator to Complete</w:t>
            </w:r>
          </w:p>
        </w:tc>
      </w:tr>
    </w:tbl>
    <w:p>
      <w:pPr>
        <w:spacing w:after="0" w:line="240" w:lineRule="auto"/>
        <w:ind w:right="144"/>
        <w:rPr>
          <w:rFonts w:cstheme="minorHAnsi"/>
          <w:b/>
        </w:rPr>
      </w:pPr>
      <w:r>
        <w:rPr>
          <w:rFonts w:eastAsia="Arial" w:cstheme="minorHAnsi"/>
          <w:b/>
          <w:bCs/>
        </w:rPr>
        <w:t xml:space="preserve">Describe your plan for monitoring and evaluation of the outputs and outcomes identified in the narrative above. </w:t>
      </w:r>
      <w:r>
        <w:rPr>
          <w:rFonts w:eastAsia="Arial" w:cstheme="minorHAnsi"/>
        </w:rPr>
        <w:t>Specifically address:</w:t>
      </w:r>
    </w:p>
    <w:p>
      <w:pPr>
        <w:pStyle w:val="19"/>
        <w:numPr>
          <w:ilvl w:val="0"/>
          <w:numId w:val="6"/>
        </w:numPr>
        <w:spacing w:after="0" w:line="240" w:lineRule="auto"/>
        <w:ind w:left="907" w:right="144"/>
        <w:contextualSpacing w:val="0"/>
        <w:rPr>
          <w:rFonts w:eastAsia="Arial" w:cstheme="minorHAnsi"/>
        </w:rPr>
      </w:pPr>
      <w:r>
        <w:rPr>
          <w:rFonts w:eastAsia="Arial" w:cstheme="minorHAnsi"/>
        </w:rPr>
        <w:t xml:space="preserve">The learning/evaluation questions for this investment and how You plan to answer them through monitoring and/or evaluation; </w:t>
      </w:r>
    </w:p>
    <w:p>
      <w:pPr>
        <w:pStyle w:val="19"/>
        <w:numPr>
          <w:ilvl w:val="0"/>
          <w:numId w:val="6"/>
        </w:numPr>
        <w:spacing w:after="0" w:line="240" w:lineRule="auto"/>
        <w:ind w:right="144"/>
        <w:contextualSpacing w:val="0"/>
        <w:rPr>
          <w:rFonts w:eastAsia="Arial" w:cstheme="minorHAnsi"/>
        </w:rPr>
      </w:pPr>
      <w:r>
        <w:rPr>
          <w:rFonts w:eastAsia="Arial" w:cstheme="minorHAnsi"/>
        </w:rPr>
        <w:t xml:space="preserve">The resources (financial, technical, human) You need to ensure high quality monitoring and/or evaluation data; and </w:t>
      </w:r>
    </w:p>
    <w:p>
      <w:pPr>
        <w:pStyle w:val="19"/>
        <w:numPr>
          <w:ilvl w:val="0"/>
          <w:numId w:val="6"/>
        </w:numPr>
        <w:spacing w:after="0" w:line="240" w:lineRule="auto"/>
        <w:ind w:right="144"/>
        <w:contextualSpacing w:val="0"/>
        <w:rPr>
          <w:rFonts w:eastAsia="Arial" w:cstheme="minorHAnsi"/>
        </w:rPr>
      </w:pPr>
      <w:r>
        <w:rPr>
          <w:rFonts w:eastAsia="Arial" w:cstheme="minorHAnsi"/>
        </w:rPr>
        <w:t xml:space="preserve">If You are planning a formal evaluation, describe when it will be conducted during the grant, who will conduct it (external/third party or not), the methodology You will consider, and how the main evaluation audiences will use the findings.  </w:t>
      </w:r>
    </w:p>
    <w:p>
      <w:pPr>
        <w:spacing w:after="0" w:line="240" w:lineRule="auto"/>
        <w:ind w:right="144"/>
        <w:rPr>
          <w:rFonts w:cstheme="minorHAnsi"/>
        </w:rPr>
      </w:pPr>
      <w:r>
        <w:rPr>
          <w:rFonts w:eastAsia="Arial" w:cstheme="minorHAnsi"/>
        </w:rPr>
        <w:t xml:space="preserve">See the foundation’s </w:t>
      </w:r>
      <w:r>
        <w:fldChar w:fldCharType="begin"/>
      </w:r>
      <w:r>
        <w:instrText xml:space="preserve"> HYPERLINK "http://www.gatesfoundation.org/How-We-Work/General-Information/Evaluation-Policy" </w:instrText>
      </w:r>
      <w:r>
        <w:fldChar w:fldCharType="separate"/>
      </w:r>
      <w:r>
        <w:rPr>
          <w:rStyle w:val="16"/>
          <w:rFonts w:eastAsia="Arial" w:cstheme="minorHAnsi"/>
          <w:color w:val="0070C0"/>
        </w:rPr>
        <w:t>evaluation policy</w:t>
      </w:r>
      <w:r>
        <w:rPr>
          <w:rStyle w:val="16"/>
          <w:rFonts w:eastAsia="Arial" w:cstheme="minorHAnsi"/>
          <w:color w:val="0070C0"/>
        </w:rPr>
        <w:fldChar w:fldCharType="end"/>
      </w:r>
      <w:r>
        <w:rPr>
          <w:rStyle w:val="16"/>
          <w:rFonts w:eastAsia="Arial" w:cstheme="minorHAnsi"/>
          <w:color w:val="0070C0"/>
        </w:rPr>
        <w:t xml:space="preserve"> </w:t>
      </w:r>
      <w:r>
        <w:rPr>
          <w:rFonts w:eastAsia="Arial" w:cstheme="minorHAnsi"/>
        </w:rPr>
        <w:t>for reference.</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1016"/>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CellMar>
            <w:top w:w="0" w:type="dxa"/>
            <w:left w:w="108" w:type="dxa"/>
            <w:bottom w:w="0" w:type="dxa"/>
            <w:right w:w="108" w:type="dxa"/>
          </w:tblCellMar>
        </w:tblPrEx>
        <w:trPr>
          <w:trHeight w:val="186" w:hRule="atLeast"/>
        </w:trPr>
        <w:tc>
          <w:tcPr>
            <w:tcW w:w="11055"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p>
            <w:pPr>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p>
        </w:tc>
      </w:tr>
    </w:tbl>
    <w:p>
      <w:pPr>
        <w:spacing w:after="0" w:line="240" w:lineRule="auto"/>
        <w:ind w:right="144"/>
        <w:rPr>
          <w:rFonts w:cstheme="minorHAnsi"/>
        </w:rPr>
      </w:pPr>
    </w:p>
    <w:tbl>
      <w:tblPr>
        <w:tblStyle w:val="12"/>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Layout w:type="autofit"/>
        <w:tblCellMar>
          <w:top w:w="0" w:type="dxa"/>
          <w:left w:w="108" w:type="dxa"/>
          <w:bottom w:w="0" w:type="dxa"/>
          <w:right w:w="108" w:type="dxa"/>
        </w:tblCellMar>
      </w:tblPr>
      <w:tblGrid>
        <w:gridCol w:w="10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73AFB6"/>
        </w:tblPrEx>
        <w:trPr>
          <w:trHeight w:val="360" w:hRule="atLeast"/>
        </w:trPr>
        <w:tc>
          <w:tcPr>
            <w:tcW w:w="10800" w:type="dxa"/>
            <w:shd w:val="clear" w:color="auto" w:fill="D0CECE"/>
            <w:vAlign w:val="center"/>
          </w:tcPr>
          <w:p>
            <w:pPr>
              <w:keepNext/>
              <w:spacing w:after="0" w:line="240" w:lineRule="auto"/>
              <w:ind w:left="72" w:right="144"/>
              <w:rPr>
                <w:rFonts w:cstheme="minorHAnsi"/>
                <w:b/>
                <w:color w:val="404040" w:themeColor="text1" w:themeTint="BF"/>
                <w14:textFill>
                  <w14:solidFill>
                    <w14:schemeClr w14:val="tx1">
                      <w14:lumMod w14:val="75000"/>
                      <w14:lumOff w14:val="25000"/>
                    </w14:schemeClr>
                  </w14:solidFill>
                </w14:textFill>
              </w:rPr>
            </w:pPr>
            <w:r>
              <w:rPr>
                <w:rFonts w:eastAsia="Arial" w:cstheme="minorHAnsi"/>
                <w:b/>
                <w:bCs/>
              </w:rPr>
              <w:t>Data Access -</w:t>
            </w:r>
            <w:r>
              <w:rPr>
                <w:rFonts w:eastAsia="Arial,Times New Roman" w:cstheme="minorHAnsi"/>
                <w:b/>
                <w:bCs/>
              </w:rPr>
              <w:t xml:space="preserve"> Chinese Investigator to Complete</w:t>
            </w:r>
          </w:p>
        </w:tc>
      </w:tr>
    </w:tbl>
    <w:p>
      <w:pPr>
        <w:spacing w:after="0" w:line="240" w:lineRule="auto"/>
        <w:ind w:left="86" w:right="144"/>
        <w:rPr>
          <w:rFonts w:cstheme="minorHAnsi"/>
        </w:rPr>
      </w:pPr>
      <w:r>
        <w:rPr>
          <w:rFonts w:eastAsia="Arial" w:cstheme="minorHAnsi"/>
          <w:b/>
          <w:bCs/>
        </w:rPr>
        <w:t xml:space="preserve">We anticipate this investment, if funded, would generate datasets that may be of interest to the foundation and/or to the field if made publicly available.  Please describe any datasets that will be generated as part of this investment. Specifically address when and how the datasets would be made available to the foundation and/or to the public, in what form or format, and any anticipated costs to your organization. </w:t>
      </w:r>
      <w:r>
        <w:rPr>
          <w:rFonts w:eastAsia="Arial" w:cstheme="minorHAnsi"/>
        </w:rPr>
        <w:t xml:space="preserve">Additional information about Data Access can be found </w:t>
      </w:r>
      <w:r>
        <w:fldChar w:fldCharType="begin"/>
      </w:r>
      <w:r>
        <w:instrText xml:space="preserve"> HYPERLINK "https://docs.gatesfoundation.org/documents/FAQs%20for%20Grantees%20and%20Partners.docx" </w:instrText>
      </w:r>
      <w:r>
        <w:fldChar w:fldCharType="separate"/>
      </w:r>
      <w:r>
        <w:rPr>
          <w:rStyle w:val="16"/>
          <w:rFonts w:eastAsia="Arial" w:cstheme="minorHAnsi"/>
          <w:bCs/>
          <w:color w:val="0070C0"/>
        </w:rPr>
        <w:t>here</w:t>
      </w:r>
      <w:r>
        <w:rPr>
          <w:rStyle w:val="16"/>
          <w:rFonts w:eastAsia="Arial" w:cstheme="minorHAnsi"/>
          <w:bCs/>
          <w:color w:val="0070C0"/>
        </w:rPr>
        <w:fldChar w:fldCharType="end"/>
      </w:r>
      <w:r>
        <w:rPr>
          <w:rFonts w:eastAsia="Arial" w:cstheme="minorHAnsi"/>
        </w:rPr>
        <w:t xml:space="preserve">.  </w:t>
      </w:r>
    </w:p>
    <w:tbl>
      <w:tblPr>
        <w:tblStyle w:val="12"/>
        <w:tblW w:w="0" w:type="auto"/>
        <w:tblInd w:w="0" w:type="dxa"/>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Layout w:type="autofit"/>
        <w:tblCellMar>
          <w:top w:w="0" w:type="dxa"/>
          <w:left w:w="108" w:type="dxa"/>
          <w:bottom w:w="0" w:type="dxa"/>
          <w:right w:w="108" w:type="dxa"/>
        </w:tblCellMar>
      </w:tblPr>
      <w:tblGrid>
        <w:gridCol w:w="11016"/>
      </w:tblGrid>
      <w:tr>
        <w:tblPrEx>
          <w:tbl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insideH w:val="single" w:color="D8D8D8" w:themeColor="background1" w:themeShade="D9" w:sz="12" w:space="0"/>
            <w:insideV w:val="single" w:color="D8D8D8" w:themeColor="background1" w:themeShade="D9" w:sz="12" w:space="0"/>
          </w:tblBorders>
        </w:tblPrEx>
        <w:trPr>
          <w:trHeight w:val="432" w:hRule="atLeast"/>
        </w:trPr>
        <w:tc>
          <w:tcPr>
            <w:tcW w:w="11055" w:type="dxa"/>
            <w:tcBorders>
              <w:top w:val="single" w:color="D8D8D8" w:themeColor="background1" w:themeShade="D9" w:sz="12" w:space="0"/>
              <w:left w:val="single" w:color="D8D8D8" w:themeColor="background1" w:themeShade="D9" w:sz="12" w:space="0"/>
              <w:bottom w:val="single" w:color="D8D8D8" w:themeColor="background1" w:themeShade="D9" w:sz="12" w:space="0"/>
              <w:right w:val="single" w:color="D8D8D8" w:themeColor="background1" w:themeShade="D9" w:sz="12" w:space="0"/>
            </w:tcBorders>
          </w:tcPr>
          <w:p>
            <w:pPr>
              <w:spacing w:after="0" w:line="240" w:lineRule="auto"/>
              <w:ind w:right="144"/>
              <w:rPr>
                <w:rFonts w:cstheme="minorHAnsi"/>
                <w:color w:val="404040" w:themeColor="text1" w:themeTint="BF"/>
                <w:lang w:eastAsia="zh-CN"/>
                <w14:textFill>
                  <w14:solidFill>
                    <w14:schemeClr w14:val="tx1">
                      <w14:lumMod w14:val="75000"/>
                      <w14:lumOff w14:val="25000"/>
                    </w14:schemeClr>
                  </w14:solidFill>
                </w14:textFill>
              </w:rPr>
            </w:pPr>
          </w:p>
        </w:tc>
      </w:tr>
    </w:tbl>
    <w:p>
      <w:pPr>
        <w:spacing w:after="0" w:line="240" w:lineRule="auto"/>
        <w:ind w:right="144"/>
        <w:rPr>
          <w:rFonts w:cstheme="minorHAnsi"/>
        </w:rPr>
      </w:pPr>
    </w:p>
    <w:p>
      <w:pPr>
        <w:spacing w:after="0" w:line="240" w:lineRule="auto"/>
        <w:ind w:right="144"/>
        <w:rPr>
          <w:rFonts w:cstheme="minorHAnsi"/>
          <w:lang w:eastAsia="zh-CN"/>
        </w:rPr>
      </w:pPr>
    </w:p>
    <w:p>
      <w:pPr>
        <w:spacing w:after="0" w:line="240" w:lineRule="auto"/>
        <w:ind w:right="144"/>
        <w:rPr>
          <w:rFonts w:cstheme="minorHAnsi"/>
          <w:lang w:eastAsia="zh-CN"/>
        </w:rPr>
      </w:pPr>
    </w:p>
    <w:p>
      <w:pPr>
        <w:spacing w:after="0" w:line="240" w:lineRule="auto"/>
        <w:ind w:right="144"/>
        <w:rPr>
          <w:rFonts w:cstheme="minorHAnsi"/>
          <w:lang w:eastAsia="zh-CN"/>
        </w:rPr>
      </w:pPr>
      <w:r>
        <w:rPr>
          <w:rFonts w:hint="eastAsia" w:cstheme="minorHAnsi"/>
          <w:lang w:eastAsia="zh-CN"/>
        </w:rPr>
        <w:t>A</w:t>
      </w:r>
      <w:r>
        <w:rPr>
          <w:rFonts w:cstheme="minorHAnsi"/>
          <w:lang w:eastAsia="zh-CN"/>
        </w:rPr>
        <w:t>ppendix:</w:t>
      </w:r>
    </w:p>
    <w:p>
      <w:pPr>
        <w:spacing w:after="0" w:line="240" w:lineRule="auto"/>
        <w:ind w:right="144"/>
        <w:jc w:val="center"/>
        <w:rPr>
          <w:rFonts w:cstheme="minorHAnsi"/>
          <w:b/>
          <w:bCs/>
          <w:lang w:eastAsia="zh-CN"/>
        </w:rPr>
      </w:pPr>
      <w:r>
        <w:rPr>
          <w:rFonts w:cstheme="minorHAnsi"/>
          <w:b/>
          <w:bCs/>
          <w:lang w:eastAsia="zh-CN"/>
        </w:rPr>
        <w:t>Research on Priority Areas for Vaccine Management and Regulatory Science</w:t>
      </w:r>
    </w:p>
    <w:p>
      <w:pPr>
        <w:spacing w:after="0" w:line="240" w:lineRule="auto"/>
        <w:ind w:right="144"/>
        <w:rPr>
          <w:rFonts w:cstheme="minorHAnsi"/>
          <w:lang w:eastAsia="zh-CN"/>
        </w:rPr>
      </w:pPr>
      <w:r>
        <w:rPr>
          <w:rFonts w:cstheme="minorHAnsi"/>
          <w:b/>
          <w:bCs/>
          <w:lang w:eastAsia="zh-CN"/>
        </w:rPr>
        <w:t>Themes:</w:t>
      </w:r>
      <w:r>
        <w:rPr>
          <w:rFonts w:cstheme="minorHAnsi"/>
          <w:lang w:eastAsia="zh-CN"/>
        </w:rPr>
        <w:t xml:space="preserve"> </w:t>
      </w:r>
    </w:p>
    <w:p>
      <w:pPr>
        <w:spacing w:after="0" w:line="240" w:lineRule="auto"/>
        <w:ind w:right="144"/>
        <w:rPr>
          <w:rFonts w:cstheme="minorHAnsi"/>
          <w:lang w:eastAsia="zh-CN"/>
        </w:rPr>
      </w:pPr>
      <w:r>
        <w:rPr>
          <w:rFonts w:cstheme="minorHAnsi"/>
          <w:lang w:eastAsia="zh-CN"/>
        </w:rPr>
        <w:t>Advancing vaccine development and innovation in China to further drive high-quality development of vaccine industry and ensure safety and supply of vaccines; and developing new regulatory science systems, tools, and methodologies applicable to priority areas of vaccine development, registration, manufacturing, vaccination, and post-marketing management.</w:t>
      </w:r>
    </w:p>
    <w:p>
      <w:pPr>
        <w:spacing w:after="0" w:line="240" w:lineRule="auto"/>
        <w:ind w:right="144"/>
        <w:rPr>
          <w:rFonts w:cstheme="minorHAnsi"/>
          <w:lang w:eastAsia="zh-CN"/>
        </w:rPr>
      </w:pPr>
      <w:r>
        <w:rPr>
          <w:rFonts w:cstheme="minorHAnsi"/>
          <w:b/>
          <w:bCs/>
          <w:lang w:eastAsia="zh-CN"/>
        </w:rPr>
        <w:t>1. Objectives</w:t>
      </w:r>
      <w:r>
        <w:rPr>
          <w:rFonts w:cstheme="minorHAnsi"/>
          <w:lang w:eastAsia="zh-CN"/>
        </w:rPr>
        <w:t xml:space="preserve"> </w:t>
      </w:r>
    </w:p>
    <w:p>
      <w:pPr>
        <w:numPr>
          <w:ilvl w:val="0"/>
          <w:numId w:val="7"/>
        </w:numPr>
        <w:spacing w:after="0" w:line="240" w:lineRule="auto"/>
        <w:ind w:right="144"/>
        <w:rPr>
          <w:rFonts w:cstheme="minorHAnsi"/>
          <w:lang w:eastAsia="zh-CN"/>
        </w:rPr>
      </w:pPr>
      <w:r>
        <w:rPr>
          <w:rFonts w:cstheme="minorHAnsi"/>
          <w:lang w:eastAsia="zh-CN"/>
        </w:rPr>
        <w:t>To explore policy and institutional mechanisms for vaccine management adaptable to new development stages; identify pathways to more effective vaccine regulation and management; develop more effective standard decision-making procedures and processes for vaccine regulation; and contribute theories, methodologies, and targeted strategies for accelerating novel vaccine R&amp;D and comprehensive optimization of vaccine regulatory management.</w:t>
      </w:r>
    </w:p>
    <w:p>
      <w:pPr>
        <w:numPr>
          <w:ilvl w:val="0"/>
          <w:numId w:val="7"/>
        </w:numPr>
        <w:spacing w:after="0" w:line="240" w:lineRule="auto"/>
        <w:ind w:right="144"/>
        <w:rPr>
          <w:rFonts w:cstheme="minorHAnsi"/>
          <w:lang w:eastAsia="zh-CN"/>
        </w:rPr>
      </w:pPr>
      <w:r>
        <w:rPr>
          <w:rFonts w:cstheme="minorHAnsi"/>
          <w:lang w:eastAsia="zh-CN"/>
        </w:rPr>
        <w:t>To draw on international experience in the whole lifecycle management of novel vaccines; address key barriers and constraints on the management of new technologies and multiplexed polyvalent vaccines; develop innovative systems, tools, and methodologies for vaccine regulation; and ultimately create new models and methodologies in support of regulatory governance decision making.</w:t>
      </w:r>
    </w:p>
    <w:p>
      <w:pPr>
        <w:numPr>
          <w:ilvl w:val="0"/>
          <w:numId w:val="7"/>
        </w:numPr>
        <w:spacing w:after="0" w:line="240" w:lineRule="auto"/>
        <w:ind w:right="144"/>
        <w:rPr>
          <w:rFonts w:cstheme="minorHAnsi"/>
          <w:lang w:eastAsia="zh-CN"/>
        </w:rPr>
      </w:pPr>
      <w:r>
        <w:rPr>
          <w:rFonts w:cstheme="minorHAnsi"/>
          <w:lang w:eastAsia="zh-CN"/>
        </w:rPr>
        <w:t>To draw on international experience in active post-marketing pharmacovigilance for vaccines; develop and validate standard procedures and protocols related to prospective pharmacovigilance systems and active pharmacovigilance activities; and accelerate the maturation of China’s national vaccine regulatory system.</w:t>
      </w:r>
    </w:p>
    <w:p>
      <w:pPr>
        <w:spacing w:after="0" w:line="240" w:lineRule="auto"/>
        <w:ind w:right="144"/>
        <w:rPr>
          <w:rFonts w:cstheme="minorHAnsi"/>
          <w:lang w:eastAsia="zh-CN"/>
        </w:rPr>
      </w:pPr>
      <w:r>
        <w:rPr>
          <w:rFonts w:cstheme="minorHAnsi"/>
          <w:lang w:eastAsia="zh-CN"/>
        </w:rPr>
        <w:t xml:space="preserve"> </w:t>
      </w:r>
    </w:p>
    <w:p>
      <w:pPr>
        <w:spacing w:after="0" w:line="240" w:lineRule="auto"/>
        <w:ind w:right="144"/>
        <w:rPr>
          <w:rFonts w:cstheme="minorHAnsi"/>
          <w:lang w:eastAsia="zh-CN"/>
        </w:rPr>
      </w:pPr>
      <w:r>
        <w:rPr>
          <w:rFonts w:cstheme="minorHAnsi"/>
          <w:b/>
          <w:bCs/>
          <w:lang w:eastAsia="zh-CN"/>
        </w:rPr>
        <w:t>2. Scientific challenges to be addressed</w:t>
      </w:r>
    </w:p>
    <w:p>
      <w:pPr>
        <w:spacing w:after="0" w:line="240" w:lineRule="auto"/>
        <w:ind w:right="144"/>
        <w:rPr>
          <w:rFonts w:cstheme="minorHAnsi"/>
          <w:lang w:eastAsia="zh-CN"/>
        </w:rPr>
      </w:pPr>
      <w:r>
        <w:rPr>
          <w:rFonts w:cstheme="minorHAnsi"/>
          <w:lang w:eastAsia="zh-CN"/>
        </w:rPr>
        <w:t>Technological advances, industrial development, and internationalization have brought about new opportunities and challenges to vaccine regulation in China. At present, gaps remain between Chinese and international standards in vaccine regulation, R&amp;D, registration, and post-marketing safety surveillance. This collaborative research program is aimed to promote vaccine R&amp;D innovations with new technological pathways, upgrade and iterate multiplexed polyvalent vaccines, and accelerate the maturation of China’s national vaccine regulatory system. The program is designed to support  continuing improvement of China’s vaccine regulatory management system through developing qualitative and quantitative methods, identifying key challenges and priority areas with an impact on regulatory effectiveness throughout vaccine lifecycles,  developing research strategies and protocols, developing and validating new models and methodologies in support of vaccine regulatory decision making, identifying and compiling use cases that will ultimately be integrated into China’s drug laws, regulations, and policy practices, and developing efficient and feasible pathways to accelerate innovative vaccine development, marketing evaluation, manufacturing quality, and active post-marketing pharmacovigilance activities and prospective surveillance.</w:t>
      </w:r>
    </w:p>
    <w:p>
      <w:pPr>
        <w:spacing w:after="0" w:line="240" w:lineRule="auto"/>
        <w:ind w:right="144"/>
        <w:rPr>
          <w:rFonts w:cstheme="minorHAnsi"/>
          <w:b/>
          <w:bCs/>
          <w:lang w:eastAsia="zh-CN"/>
        </w:rPr>
      </w:pPr>
      <w:r>
        <w:rPr>
          <w:rFonts w:cstheme="minorHAnsi"/>
          <w:b/>
          <w:bCs/>
          <w:lang w:eastAsia="zh-CN"/>
        </w:rPr>
        <w:t>3. Areas of Support</w:t>
      </w:r>
    </w:p>
    <w:p>
      <w:pPr>
        <w:spacing w:after="0" w:line="240" w:lineRule="auto"/>
        <w:ind w:right="144"/>
        <w:rPr>
          <w:rFonts w:cstheme="minorHAnsi"/>
          <w:lang w:eastAsia="zh-CN"/>
        </w:rPr>
      </w:pPr>
      <w:r>
        <w:rPr>
          <w:rFonts w:cstheme="minorHAnsi"/>
          <w:lang w:eastAsia="zh-CN"/>
        </w:rPr>
        <w:t>Program applicants shall submit forward-looking, innovative, scientifically robust, and feasible proposal focusing on the areas described below. Applicants are encouraged to form a multidisciplinary research team including expertise in areas such as public health, public policy, law, clinical research, and pharmacology, to conduct research on a set of specific problems identified in a priority area, analyze, develop, and validate potential solutions such as new models, tools, and methodologies in support of vaccine regulatory decision making, and provide policy recommendations.</w:t>
      </w:r>
    </w:p>
    <w:p>
      <w:pPr>
        <w:spacing w:after="0" w:line="240" w:lineRule="auto"/>
        <w:ind w:right="144"/>
        <w:rPr>
          <w:rFonts w:cstheme="minorHAnsi"/>
          <w:lang w:eastAsia="zh-CN"/>
        </w:rPr>
      </w:pPr>
      <w:r>
        <w:rPr>
          <w:rFonts w:cstheme="minorHAnsi"/>
          <w:lang w:eastAsia="zh-CN"/>
        </w:rPr>
        <w:t>While describing research activities, the proposal should include, at least, an annual briefing session during the study period to report and discuss progress and findings of the project, and potential policy implications and recommendations with the National Natural Science Foundation of China (NSFC), Bill &amp; Melinda Gates Foundation (BMGF), National Medical Products Administration (NMPA), and Chinese and international peers.</w:t>
      </w:r>
    </w:p>
    <w:p>
      <w:pPr>
        <w:numPr>
          <w:ilvl w:val="0"/>
          <w:numId w:val="8"/>
        </w:numPr>
        <w:tabs>
          <w:tab w:val="clear" w:pos="360"/>
        </w:tabs>
        <w:spacing w:after="0" w:line="240" w:lineRule="auto"/>
        <w:ind w:right="144"/>
        <w:rPr>
          <w:rFonts w:cstheme="minorHAnsi"/>
          <w:lang w:eastAsia="zh-CN"/>
        </w:rPr>
      </w:pPr>
      <w:r>
        <w:rPr>
          <w:rFonts w:cstheme="minorHAnsi"/>
          <w:b/>
          <w:bCs/>
          <w:lang w:eastAsia="zh-CN"/>
        </w:rPr>
        <w:t>Research on policies and pathways to improve effectiveness of vaccine regulation</w:t>
      </w:r>
      <w:r>
        <w:rPr>
          <w:rFonts w:cstheme="minorHAnsi"/>
          <w:lang w:eastAsia="zh-CN"/>
        </w:rPr>
        <w:t>: With the goal of improving people’s living standards and seeking high-quality development of vaccine industry, and recognizing the strategic importance of vaccine products as a public good, this area of research should focus on major evaluation dimensions and indicators of the vaccine regulatory system’s effectiveness in China; the main factors affecting vaccine regulatory effectiveness and analytical framework; the causal relationships among administrative resources, regulatory capacity, and efficiency gains in vaccine regulation; the experiences of major developed markets in the whole lifecycle management of innovative vaccines; and general approaches and specific methodologies to promote vaccine development and innovation.</w:t>
      </w:r>
    </w:p>
    <w:p>
      <w:pPr>
        <w:spacing w:after="0" w:line="240" w:lineRule="auto"/>
        <w:ind w:right="144"/>
        <w:rPr>
          <w:rFonts w:cstheme="minorHAnsi"/>
          <w:lang w:eastAsia="zh-CN"/>
        </w:rPr>
      </w:pPr>
    </w:p>
    <w:p>
      <w:pPr>
        <w:numPr>
          <w:ilvl w:val="0"/>
          <w:numId w:val="8"/>
        </w:numPr>
        <w:tabs>
          <w:tab w:val="clear" w:pos="360"/>
        </w:tabs>
        <w:spacing w:after="0" w:line="240" w:lineRule="auto"/>
        <w:ind w:right="144"/>
        <w:rPr>
          <w:rFonts w:cstheme="minorHAnsi"/>
          <w:lang w:eastAsia="zh-CN"/>
        </w:rPr>
      </w:pPr>
      <w:r>
        <w:rPr>
          <w:rFonts w:cstheme="minorHAnsi"/>
          <w:b/>
          <w:bCs/>
          <w:lang w:eastAsia="zh-CN"/>
        </w:rPr>
        <w:t>Research on vaccine regulatory system reform and process optimization</w:t>
      </w:r>
      <w:r>
        <w:rPr>
          <w:rFonts w:cstheme="minorHAnsi"/>
          <w:lang w:eastAsia="zh-CN"/>
        </w:rPr>
        <w:t>: In light of the diverse players, multiple objectives, and dynamic interactions in vaccine life-cycle regulation (including efficacy, safety, and manufacturing quality during clinical trials, initial authorization, and post-authorization changes) in China, as well as the interwoven public health and commercial interests, this area of research focuses on the dynamics of vaccine life-cycle regulatory system reform; institutional barriers to vaccine development and innovation, mass production, production process changes over time, and Adverse Event Following Immunization (AEFI) systems, and their inherent drivers; replicable experiences of vaccine regulation in major developed countries and typical developing countries; mechanisms and methods of synergistic development and management of products, industries, and health objectives in vaccine regulation; and strategic recommendations for vaccine regulatory system reform on the new journey to modernization.</w:t>
      </w:r>
    </w:p>
    <w:p>
      <w:pPr>
        <w:spacing w:after="0" w:line="240" w:lineRule="auto"/>
        <w:ind w:right="144"/>
        <w:rPr>
          <w:rFonts w:cstheme="minorHAnsi"/>
          <w:lang w:eastAsia="zh-CN"/>
        </w:rPr>
      </w:pPr>
    </w:p>
    <w:p>
      <w:pPr>
        <w:numPr>
          <w:ilvl w:val="0"/>
          <w:numId w:val="8"/>
        </w:numPr>
        <w:tabs>
          <w:tab w:val="clear" w:pos="360"/>
        </w:tabs>
        <w:spacing w:after="0" w:line="240" w:lineRule="auto"/>
        <w:ind w:right="144"/>
        <w:rPr>
          <w:rFonts w:cstheme="minorHAnsi"/>
          <w:lang w:eastAsia="zh-CN"/>
        </w:rPr>
      </w:pPr>
      <w:r>
        <w:rPr>
          <w:rFonts w:cstheme="minorHAnsi"/>
          <w:b/>
          <w:bCs/>
          <w:lang w:eastAsia="zh-CN"/>
        </w:rPr>
        <w:t>Research on new regulatory science tools and new approaches to evaluating vaccine efficacy, safety, and manufacturing quality (including technology transfer implications)</w:t>
      </w:r>
      <w:r>
        <w:rPr>
          <w:rFonts w:cstheme="minorHAnsi"/>
          <w:lang w:eastAsia="zh-CN"/>
        </w:rPr>
        <w:t>: In order to accelerate the development of novel technological routes and multiplex polyvalent vaccines, drive simultaneous multicenter clinical trials for vaccine development and registration in China and internationally, meet public health needs (including those of special groups such as the elderly and pregnant women), and to respond to emerging infectious diseases, this area of research supports new tools for regulation of and innovative methodologies for clinical trials. Research should be conducted on measurement tools, decision support tools, use cases for measuring vaccine efficacy and safety, and the creation of a knowledge bank for R&amp;D and review, as well as novel theories and methods for innovative clinical trial design (e.g., adaptive design), selection of control groups and clinical endpoints (e.g., surrogate endpoints), and statistical analyses of vaccines to drive innovation and the application of such vaccine clinical trial advances in China.</w:t>
      </w:r>
    </w:p>
    <w:p>
      <w:pPr>
        <w:spacing w:after="0" w:line="240" w:lineRule="auto"/>
        <w:ind w:right="144"/>
        <w:rPr>
          <w:rFonts w:cstheme="minorHAnsi"/>
          <w:lang w:eastAsia="zh-CN"/>
        </w:rPr>
      </w:pPr>
    </w:p>
    <w:p>
      <w:pPr>
        <w:numPr>
          <w:ilvl w:val="0"/>
          <w:numId w:val="8"/>
        </w:numPr>
        <w:tabs>
          <w:tab w:val="clear" w:pos="360"/>
        </w:tabs>
        <w:spacing w:after="0" w:line="240" w:lineRule="auto"/>
        <w:ind w:right="144"/>
        <w:rPr>
          <w:rFonts w:cstheme="minorHAnsi"/>
          <w:lang w:eastAsia="zh-CN"/>
        </w:rPr>
      </w:pPr>
      <w:bookmarkStart w:id="4" w:name="_Hlk128577126"/>
      <w:r>
        <w:rPr>
          <w:rFonts w:cstheme="minorHAnsi"/>
          <w:b/>
          <w:bCs/>
          <w:lang w:eastAsia="zh-CN"/>
        </w:rPr>
        <w:t>Innovative research on active post-marketing pharmacovigilance for vaccines</w:t>
      </w:r>
      <w:r>
        <w:rPr>
          <w:rFonts w:cstheme="minorHAnsi"/>
          <w:lang w:eastAsia="zh-CN"/>
        </w:rPr>
        <w:t>: The WHO Vaccine National Regulatory System operating at maturity level 4 requires national regulatory authorities (NRAs) to have the capacity for active pharmacovigilance, i.e., “develop and implement active pharmacovigilance activities and prospective surveillance programs”. This area of research supports new models for accelerating capacity building for active vaccine safety surveillance in China, including, but not limited to, working models, technical solutions, capacity requirements, and funding needs for active pharmacovigilance activities in line with China’s national conditions. In terms of technical implementation, we encourage research on the use of multiple data sources (such as regional healthcare big data) to carry out active surveillance of vaccine safety; the development of strategies, technologies, tools, and management models in data governance; the development of signal discovery, signal verification, and signal disposal to establish standard procedures and mechanisms for prospective active vigilance enabled in multiple ways; and the application of pilots and validation by building an active vaccine pharmacovigilance platform. Ultimately, the goal is to formulate policy recommendations and best practice cases of the Standard Procedures and Mechanisms Related to Prospective Pharmacovigilance Systems and Standard Procedures and Mechanisms Related to Active Pharmacovigilance Activities commensurate with China’s national conditions, which will help accelerate the maturation of China’s national vaccine regulatory system.</w:t>
      </w:r>
      <w:bookmarkEnd w:id="4"/>
    </w:p>
    <w:p>
      <w:pPr>
        <w:spacing w:after="0" w:line="240" w:lineRule="auto"/>
        <w:ind w:right="144"/>
        <w:rPr>
          <w:rFonts w:cstheme="minorHAnsi"/>
        </w:rPr>
      </w:pPr>
    </w:p>
    <w:sectPr>
      <w:headerReference r:id="rId5" w:type="default"/>
      <w:footerReference r:id="rId6" w:type="default"/>
      <w:pgSz w:w="12240" w:h="15840"/>
      <w:pgMar w:top="720" w:right="720" w:bottom="720" w:left="72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Arial,Times New Roma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right" w:pos="10800"/>
        <w:tab w:val="clear" w:pos="9360"/>
      </w:tabs>
      <w:rPr>
        <w:sz w:val="18"/>
      </w:rPr>
    </w:pPr>
    <w:r>
      <w:rPr>
        <w:sz w:val="18"/>
        <w:szCs w:val="18"/>
      </w:rPr>
      <w:t>01/22/2020 (Version 1.7)</w:t>
    </w:r>
    <w:r>
      <w:rPr>
        <w:sz w:val="18"/>
        <w:szCs w:val="18"/>
      </w:rPr>
      <w:tab/>
    </w:r>
    <w:r>
      <w:rPr>
        <w:sz w:val="18"/>
        <w:szCs w:val="18"/>
      </w:rPr>
      <w:tab/>
    </w:r>
    <w:r>
      <w:rPr>
        <w:sz w:val="18"/>
        <w:szCs w:val="18"/>
      </w:rPr>
      <w:fldChar w:fldCharType="begin"/>
    </w:r>
    <w:r>
      <w:rPr>
        <w:sz w:val="18"/>
        <w:szCs w:val="18"/>
      </w:rPr>
      <w:instrText xml:space="preserve"> PAGE   \* MERGEFORMAT </w:instrText>
    </w:r>
    <w:r>
      <w:rPr>
        <w:sz w:val="18"/>
        <w:szCs w:val="18"/>
      </w:rPr>
      <w:fldChar w:fldCharType="separate"/>
    </w:r>
    <w:r>
      <w:rPr>
        <w:sz w:val="18"/>
        <w:szCs w:val="18"/>
      </w:rPr>
      <w:t>8</w:t>
    </w:r>
    <w:r>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right" w:pos="10710"/>
        <w:tab w:val="clear" w:pos="9360"/>
      </w:tabs>
    </w:pPr>
    <w:r>
      <w:rPr>
        <w:lang w:eastAsia="zh-CN"/>
      </w:rPr>
      <w:drawing>
        <wp:inline distT="0" distB="0" distL="0" distR="0">
          <wp:extent cx="1341120" cy="2679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60528" cy="272106"/>
                  </a:xfrm>
                  <a:prstGeom prst="rect">
                    <a:avLst/>
                  </a:prstGeom>
                </pic:spPr>
              </pic:pic>
            </a:graphicData>
          </a:graphic>
        </wp:inline>
      </w:drawing>
    </w:r>
    <w:r>
      <w:tab/>
    </w: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481C54"/>
    <w:multiLevelType w:val="multilevel"/>
    <w:tmpl w:val="0E481C54"/>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49D77DFE"/>
    <w:multiLevelType w:val="multilevel"/>
    <w:tmpl w:val="49D77DFE"/>
    <w:lvl w:ilvl="0" w:tentative="0">
      <w:start w:val="1"/>
      <w:numFmt w:val="decimal"/>
      <w:lvlText w:val="%1."/>
      <w:lvlJc w:val="left"/>
      <w:pPr>
        <w:ind w:left="360" w:hanging="360"/>
      </w:pPr>
      <w:rPr>
        <w:rFonts w:hint="default" w:ascii="Calibri" w:hAnsi="Calibri" w:cs="Calibri"/>
        <w:b/>
        <w:i w:val="0"/>
        <w:color w:val="000000"/>
      </w:rPr>
    </w:lvl>
    <w:lvl w:ilvl="1" w:tentative="0">
      <w:start w:val="1"/>
      <w:numFmt w:val="lowerLetter"/>
      <w:lvlText w:val="%2."/>
      <w:lvlJc w:val="left"/>
      <w:pPr>
        <w:ind w:left="1170" w:hanging="360"/>
      </w:pPr>
    </w:lvl>
    <w:lvl w:ilvl="2" w:tentative="0">
      <w:start w:val="1"/>
      <w:numFmt w:val="lowerRoman"/>
      <w:lvlText w:val="%3."/>
      <w:lvlJc w:val="right"/>
      <w:pPr>
        <w:ind w:left="1890" w:hanging="180"/>
      </w:pPr>
    </w:lvl>
    <w:lvl w:ilvl="3" w:tentative="0">
      <w:start w:val="1"/>
      <w:numFmt w:val="decimal"/>
      <w:lvlText w:val="%4."/>
      <w:lvlJc w:val="left"/>
      <w:pPr>
        <w:ind w:left="2610" w:hanging="360"/>
      </w:pPr>
    </w:lvl>
    <w:lvl w:ilvl="4" w:tentative="0">
      <w:start w:val="1"/>
      <w:numFmt w:val="lowerLetter"/>
      <w:lvlText w:val="%5."/>
      <w:lvlJc w:val="left"/>
      <w:pPr>
        <w:ind w:left="3330" w:hanging="360"/>
      </w:pPr>
    </w:lvl>
    <w:lvl w:ilvl="5" w:tentative="0">
      <w:start w:val="1"/>
      <w:numFmt w:val="lowerRoman"/>
      <w:lvlText w:val="%6."/>
      <w:lvlJc w:val="right"/>
      <w:pPr>
        <w:ind w:left="4050" w:hanging="180"/>
      </w:pPr>
    </w:lvl>
    <w:lvl w:ilvl="6" w:tentative="0">
      <w:start w:val="1"/>
      <w:numFmt w:val="decimal"/>
      <w:lvlText w:val="%7."/>
      <w:lvlJc w:val="left"/>
      <w:pPr>
        <w:ind w:left="4770" w:hanging="360"/>
      </w:pPr>
    </w:lvl>
    <w:lvl w:ilvl="7" w:tentative="0">
      <w:start w:val="1"/>
      <w:numFmt w:val="lowerLetter"/>
      <w:lvlText w:val="%8."/>
      <w:lvlJc w:val="left"/>
      <w:pPr>
        <w:ind w:left="5490" w:hanging="360"/>
      </w:pPr>
    </w:lvl>
    <w:lvl w:ilvl="8" w:tentative="0">
      <w:start w:val="1"/>
      <w:numFmt w:val="lowerRoman"/>
      <w:lvlText w:val="%9."/>
      <w:lvlJc w:val="right"/>
      <w:pPr>
        <w:ind w:left="6210" w:hanging="180"/>
      </w:pPr>
    </w:lvl>
  </w:abstractNum>
  <w:abstractNum w:abstractNumId="2">
    <w:nsid w:val="53B803F6"/>
    <w:multiLevelType w:val="multilevel"/>
    <w:tmpl w:val="53B803F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58FD38E8"/>
    <w:multiLevelType w:val="multilevel"/>
    <w:tmpl w:val="58FD38E8"/>
    <w:lvl w:ilvl="0" w:tentative="0">
      <w:start w:val="1"/>
      <w:numFmt w:val="decimal"/>
      <w:lvlText w:val="%1)"/>
      <w:lvlJc w:val="left"/>
      <w:pPr>
        <w:tabs>
          <w:tab w:val="left" w:pos="360"/>
        </w:tabs>
        <w:ind w:left="360" w:hanging="360"/>
      </w:pPr>
    </w:lvl>
    <w:lvl w:ilvl="1" w:tentative="0">
      <w:start w:val="1"/>
      <w:numFmt w:val="bullet"/>
      <w:lvlText w:val=""/>
      <w:lvlJc w:val="left"/>
      <w:pPr>
        <w:ind w:left="1080" w:hanging="360"/>
      </w:pPr>
      <w:rPr>
        <w:rFonts w:hint="default" w:ascii="Symbol" w:hAnsi="Symbol"/>
      </w:rPr>
    </w:lvl>
    <w:lvl w:ilvl="2" w:tentative="0">
      <w:start w:val="1"/>
      <w:numFmt w:val="decimal"/>
      <w:lvlText w:val="%3)"/>
      <w:lvlJc w:val="left"/>
      <w:pPr>
        <w:tabs>
          <w:tab w:val="left" w:pos="1800"/>
        </w:tabs>
        <w:ind w:left="1800" w:hanging="360"/>
      </w:pPr>
    </w:lvl>
    <w:lvl w:ilvl="3" w:tentative="0">
      <w:start w:val="1"/>
      <w:numFmt w:val="decimal"/>
      <w:lvlText w:val="%4)"/>
      <w:lvlJc w:val="left"/>
      <w:pPr>
        <w:tabs>
          <w:tab w:val="left" w:pos="2520"/>
        </w:tabs>
        <w:ind w:left="2520" w:hanging="360"/>
      </w:pPr>
    </w:lvl>
    <w:lvl w:ilvl="4" w:tentative="0">
      <w:start w:val="1"/>
      <w:numFmt w:val="decimal"/>
      <w:lvlText w:val="%5)"/>
      <w:lvlJc w:val="left"/>
      <w:pPr>
        <w:tabs>
          <w:tab w:val="left" w:pos="3240"/>
        </w:tabs>
        <w:ind w:left="3240" w:hanging="360"/>
      </w:pPr>
    </w:lvl>
    <w:lvl w:ilvl="5" w:tentative="0">
      <w:start w:val="1"/>
      <w:numFmt w:val="decimal"/>
      <w:lvlText w:val="%6)"/>
      <w:lvlJc w:val="left"/>
      <w:pPr>
        <w:tabs>
          <w:tab w:val="left" w:pos="3960"/>
        </w:tabs>
        <w:ind w:left="3960" w:hanging="360"/>
      </w:pPr>
    </w:lvl>
    <w:lvl w:ilvl="6" w:tentative="0">
      <w:start w:val="1"/>
      <w:numFmt w:val="decimal"/>
      <w:lvlText w:val="%7)"/>
      <w:lvlJc w:val="left"/>
      <w:pPr>
        <w:tabs>
          <w:tab w:val="left" w:pos="4680"/>
        </w:tabs>
        <w:ind w:left="4680" w:hanging="360"/>
      </w:pPr>
    </w:lvl>
    <w:lvl w:ilvl="7" w:tentative="0">
      <w:start w:val="1"/>
      <w:numFmt w:val="decimal"/>
      <w:lvlText w:val="%8)"/>
      <w:lvlJc w:val="left"/>
      <w:pPr>
        <w:tabs>
          <w:tab w:val="left" w:pos="5400"/>
        </w:tabs>
        <w:ind w:left="5400" w:hanging="360"/>
      </w:pPr>
    </w:lvl>
    <w:lvl w:ilvl="8" w:tentative="0">
      <w:start w:val="1"/>
      <w:numFmt w:val="decimal"/>
      <w:lvlText w:val="%9)"/>
      <w:lvlJc w:val="left"/>
      <w:pPr>
        <w:tabs>
          <w:tab w:val="left" w:pos="6120"/>
        </w:tabs>
        <w:ind w:left="6120" w:hanging="360"/>
      </w:pPr>
    </w:lvl>
  </w:abstractNum>
  <w:abstractNum w:abstractNumId="4">
    <w:nsid w:val="5C0917E2"/>
    <w:multiLevelType w:val="multilevel"/>
    <w:tmpl w:val="5C0917E2"/>
    <w:lvl w:ilvl="0" w:tentative="0">
      <w:start w:val="1"/>
      <w:numFmt w:val="decimal"/>
      <w:lvlText w:val="%1."/>
      <w:lvlJc w:val="left"/>
      <w:pPr>
        <w:ind w:left="900" w:hanging="360"/>
      </w:pPr>
    </w:lvl>
    <w:lvl w:ilvl="1" w:tentative="0">
      <w:start w:val="1"/>
      <w:numFmt w:val="lowerLetter"/>
      <w:lvlText w:val="%2."/>
      <w:lvlJc w:val="left"/>
      <w:pPr>
        <w:ind w:left="1620" w:hanging="360"/>
      </w:pPr>
    </w:lvl>
    <w:lvl w:ilvl="2" w:tentative="0">
      <w:start w:val="1"/>
      <w:numFmt w:val="lowerRoman"/>
      <w:lvlText w:val="%3."/>
      <w:lvlJc w:val="right"/>
      <w:pPr>
        <w:ind w:left="2340" w:hanging="180"/>
      </w:pPr>
    </w:lvl>
    <w:lvl w:ilvl="3" w:tentative="0">
      <w:start w:val="1"/>
      <w:numFmt w:val="decimal"/>
      <w:lvlText w:val="%4."/>
      <w:lvlJc w:val="left"/>
      <w:pPr>
        <w:ind w:left="3060" w:hanging="360"/>
      </w:pPr>
    </w:lvl>
    <w:lvl w:ilvl="4" w:tentative="0">
      <w:start w:val="1"/>
      <w:numFmt w:val="lowerLetter"/>
      <w:lvlText w:val="%5."/>
      <w:lvlJc w:val="left"/>
      <w:pPr>
        <w:ind w:left="3780" w:hanging="360"/>
      </w:pPr>
    </w:lvl>
    <w:lvl w:ilvl="5" w:tentative="0">
      <w:start w:val="1"/>
      <w:numFmt w:val="lowerRoman"/>
      <w:lvlText w:val="%6."/>
      <w:lvlJc w:val="right"/>
      <w:pPr>
        <w:ind w:left="4500" w:hanging="180"/>
      </w:pPr>
    </w:lvl>
    <w:lvl w:ilvl="6" w:tentative="0">
      <w:start w:val="1"/>
      <w:numFmt w:val="decimal"/>
      <w:lvlText w:val="%7."/>
      <w:lvlJc w:val="left"/>
      <w:pPr>
        <w:ind w:left="5220" w:hanging="360"/>
      </w:pPr>
    </w:lvl>
    <w:lvl w:ilvl="7" w:tentative="0">
      <w:start w:val="1"/>
      <w:numFmt w:val="lowerLetter"/>
      <w:lvlText w:val="%8."/>
      <w:lvlJc w:val="left"/>
      <w:pPr>
        <w:ind w:left="5940" w:hanging="360"/>
      </w:pPr>
    </w:lvl>
    <w:lvl w:ilvl="8" w:tentative="0">
      <w:start w:val="1"/>
      <w:numFmt w:val="lowerRoman"/>
      <w:lvlText w:val="%9."/>
      <w:lvlJc w:val="right"/>
      <w:pPr>
        <w:ind w:left="6660" w:hanging="180"/>
      </w:pPr>
    </w:lvl>
  </w:abstractNum>
  <w:abstractNum w:abstractNumId="5">
    <w:nsid w:val="62BD2B55"/>
    <w:multiLevelType w:val="multilevel"/>
    <w:tmpl w:val="62BD2B55"/>
    <w:lvl w:ilvl="0" w:tentative="0">
      <w:start w:val="1"/>
      <w:numFmt w:val="bullet"/>
      <w:lvlText w:val=""/>
      <w:lvlJc w:val="left"/>
      <w:pPr>
        <w:ind w:left="360" w:hanging="360"/>
      </w:pPr>
      <w:rPr>
        <w:rFonts w:hint="default" w:ascii="Symbol" w:hAnsi="Symbol"/>
        <w:strike w:val="0"/>
        <w:color w:val="auto"/>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6">
    <w:nsid w:val="6FB11834"/>
    <w:multiLevelType w:val="multilevel"/>
    <w:tmpl w:val="6FB11834"/>
    <w:lvl w:ilvl="0" w:tentative="0">
      <w:start w:val="1"/>
      <w:numFmt w:val="lowerLetter"/>
      <w:lvlText w:val="%1)"/>
      <w:lvlJc w:val="left"/>
      <w:pPr>
        <w:ind w:left="446" w:hanging="360"/>
      </w:pPr>
      <w:rPr>
        <w:rFonts w:hint="default"/>
        <w:b/>
        <w:color w:val="auto"/>
      </w:rPr>
    </w:lvl>
    <w:lvl w:ilvl="1" w:tentative="0">
      <w:start w:val="1"/>
      <w:numFmt w:val="lowerRoman"/>
      <w:lvlText w:val="%2."/>
      <w:lvlJc w:val="right"/>
      <w:pPr>
        <w:ind w:left="1166" w:hanging="360"/>
      </w:pPr>
    </w:lvl>
    <w:lvl w:ilvl="2" w:tentative="0">
      <w:start w:val="1"/>
      <w:numFmt w:val="lowerRoman"/>
      <w:lvlText w:val="%3."/>
      <w:lvlJc w:val="right"/>
      <w:pPr>
        <w:ind w:left="1886" w:hanging="180"/>
      </w:pPr>
    </w:lvl>
    <w:lvl w:ilvl="3" w:tentative="0">
      <w:start w:val="1"/>
      <w:numFmt w:val="decimal"/>
      <w:lvlText w:val="%4."/>
      <w:lvlJc w:val="left"/>
      <w:pPr>
        <w:ind w:left="2606" w:hanging="360"/>
      </w:pPr>
    </w:lvl>
    <w:lvl w:ilvl="4" w:tentative="0">
      <w:start w:val="1"/>
      <w:numFmt w:val="lowerLetter"/>
      <w:lvlText w:val="%5."/>
      <w:lvlJc w:val="left"/>
      <w:pPr>
        <w:ind w:left="3326" w:hanging="360"/>
      </w:pPr>
    </w:lvl>
    <w:lvl w:ilvl="5" w:tentative="0">
      <w:start w:val="1"/>
      <w:numFmt w:val="lowerRoman"/>
      <w:lvlText w:val="%6."/>
      <w:lvlJc w:val="right"/>
      <w:pPr>
        <w:ind w:left="4046" w:hanging="180"/>
      </w:pPr>
    </w:lvl>
    <w:lvl w:ilvl="6" w:tentative="0">
      <w:start w:val="1"/>
      <w:numFmt w:val="decimal"/>
      <w:lvlText w:val="%7."/>
      <w:lvlJc w:val="left"/>
      <w:pPr>
        <w:ind w:left="4766" w:hanging="360"/>
      </w:pPr>
    </w:lvl>
    <w:lvl w:ilvl="7" w:tentative="0">
      <w:start w:val="1"/>
      <w:numFmt w:val="lowerLetter"/>
      <w:lvlText w:val="%8."/>
      <w:lvlJc w:val="left"/>
      <w:pPr>
        <w:ind w:left="5486" w:hanging="360"/>
      </w:pPr>
    </w:lvl>
    <w:lvl w:ilvl="8" w:tentative="0">
      <w:start w:val="1"/>
      <w:numFmt w:val="lowerRoman"/>
      <w:lvlText w:val="%9."/>
      <w:lvlJc w:val="right"/>
      <w:pPr>
        <w:ind w:left="6206" w:hanging="180"/>
      </w:pPr>
    </w:lvl>
  </w:abstractNum>
  <w:abstractNum w:abstractNumId="7">
    <w:nsid w:val="779C63C4"/>
    <w:multiLevelType w:val="multilevel"/>
    <w:tmpl w:val="779C63C4"/>
    <w:lvl w:ilvl="0" w:tentative="0">
      <w:start w:val="1"/>
      <w:numFmt w:val="lowerLetter"/>
      <w:lvlText w:val="%1."/>
      <w:lvlJc w:val="left"/>
      <w:pPr>
        <w:tabs>
          <w:tab w:val="left" w:pos="720"/>
        </w:tabs>
        <w:ind w:left="720" w:hanging="360"/>
      </w:pPr>
      <w:rPr>
        <w:b/>
      </w:rPr>
    </w:lvl>
    <w:lvl w:ilvl="1" w:tentative="0">
      <w:start w:val="1"/>
      <w:numFmt w:val="lowerLetter"/>
      <w:lvlText w:val="%2."/>
      <w:lvlJc w:val="left"/>
      <w:pPr>
        <w:tabs>
          <w:tab w:val="left" w:pos="1440"/>
        </w:tabs>
        <w:ind w:left="1440" w:hanging="360"/>
      </w:pPr>
    </w:lvl>
    <w:lvl w:ilvl="2" w:tentative="0">
      <w:start w:val="1"/>
      <w:numFmt w:val="lowerLetter"/>
      <w:lvlText w:val="%3."/>
      <w:lvlJc w:val="left"/>
      <w:pPr>
        <w:tabs>
          <w:tab w:val="left" w:pos="2160"/>
        </w:tabs>
        <w:ind w:left="2160" w:hanging="360"/>
      </w:pPr>
    </w:lvl>
    <w:lvl w:ilvl="3" w:tentative="0">
      <w:start w:val="1"/>
      <w:numFmt w:val="lowerLetter"/>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Letter"/>
      <w:lvlText w:val="%6."/>
      <w:lvlJc w:val="left"/>
      <w:pPr>
        <w:tabs>
          <w:tab w:val="left" w:pos="4320"/>
        </w:tabs>
        <w:ind w:left="4320" w:hanging="360"/>
      </w:pPr>
    </w:lvl>
    <w:lvl w:ilvl="6" w:tentative="0">
      <w:start w:val="1"/>
      <w:numFmt w:val="lowerLetter"/>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Letter"/>
      <w:lvlText w:val="%9."/>
      <w:lvlJc w:val="left"/>
      <w:pPr>
        <w:tabs>
          <w:tab w:val="left" w:pos="6480"/>
        </w:tabs>
        <w:ind w:left="6480" w:hanging="360"/>
      </w:pPr>
    </w:lvl>
  </w:abstractNum>
  <w:num w:numId="1">
    <w:abstractNumId w:val="2"/>
  </w:num>
  <w:num w:numId="2">
    <w:abstractNumId w:val="5"/>
  </w:num>
  <w:num w:numId="3">
    <w:abstractNumId w:val="6"/>
  </w:num>
  <w:num w:numId="4">
    <w:abstractNumId w:val="1"/>
  </w:num>
  <w:num w:numId="5">
    <w:abstractNumId w:val="7"/>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3C7"/>
    <w:rsid w:val="00002E4A"/>
    <w:rsid w:val="0000612F"/>
    <w:rsid w:val="00011C66"/>
    <w:rsid w:val="00015B04"/>
    <w:rsid w:val="000210AE"/>
    <w:rsid w:val="00025452"/>
    <w:rsid w:val="00026850"/>
    <w:rsid w:val="00027706"/>
    <w:rsid w:val="0003038F"/>
    <w:rsid w:val="00040B0C"/>
    <w:rsid w:val="00046AA3"/>
    <w:rsid w:val="00055684"/>
    <w:rsid w:val="000556D3"/>
    <w:rsid w:val="0005656F"/>
    <w:rsid w:val="00061A60"/>
    <w:rsid w:val="00074AC6"/>
    <w:rsid w:val="000818A7"/>
    <w:rsid w:val="0008282C"/>
    <w:rsid w:val="00094848"/>
    <w:rsid w:val="000A27AB"/>
    <w:rsid w:val="000A2CB6"/>
    <w:rsid w:val="000A4E0A"/>
    <w:rsid w:val="000A6F3B"/>
    <w:rsid w:val="000B09FC"/>
    <w:rsid w:val="000B6D1D"/>
    <w:rsid w:val="000B6DA3"/>
    <w:rsid w:val="000B72B5"/>
    <w:rsid w:val="000C6C8A"/>
    <w:rsid w:val="000D2392"/>
    <w:rsid w:val="000D45B6"/>
    <w:rsid w:val="000D6A77"/>
    <w:rsid w:val="000D75E8"/>
    <w:rsid w:val="000E03FD"/>
    <w:rsid w:val="000E0627"/>
    <w:rsid w:val="000E0947"/>
    <w:rsid w:val="000E2C15"/>
    <w:rsid w:val="000E3109"/>
    <w:rsid w:val="000E3EB4"/>
    <w:rsid w:val="000F25AC"/>
    <w:rsid w:val="000F614B"/>
    <w:rsid w:val="00103A07"/>
    <w:rsid w:val="001266B8"/>
    <w:rsid w:val="00126CC6"/>
    <w:rsid w:val="00145024"/>
    <w:rsid w:val="001452A7"/>
    <w:rsid w:val="0014628D"/>
    <w:rsid w:val="001467EF"/>
    <w:rsid w:val="00146FD5"/>
    <w:rsid w:val="001574DD"/>
    <w:rsid w:val="00161F64"/>
    <w:rsid w:val="00162FFC"/>
    <w:rsid w:val="001642E2"/>
    <w:rsid w:val="001667DA"/>
    <w:rsid w:val="00177992"/>
    <w:rsid w:val="00185F06"/>
    <w:rsid w:val="001866D9"/>
    <w:rsid w:val="00186DBF"/>
    <w:rsid w:val="00190189"/>
    <w:rsid w:val="00191AF2"/>
    <w:rsid w:val="00195979"/>
    <w:rsid w:val="001A639B"/>
    <w:rsid w:val="001A6520"/>
    <w:rsid w:val="001B04FC"/>
    <w:rsid w:val="001C0FBC"/>
    <w:rsid w:val="001C36AF"/>
    <w:rsid w:val="001C3DC3"/>
    <w:rsid w:val="001C63B6"/>
    <w:rsid w:val="001D5F3C"/>
    <w:rsid w:val="001E153A"/>
    <w:rsid w:val="001E228B"/>
    <w:rsid w:val="001E37D9"/>
    <w:rsid w:val="001E616C"/>
    <w:rsid w:val="001F47C8"/>
    <w:rsid w:val="001F5EF9"/>
    <w:rsid w:val="00204067"/>
    <w:rsid w:val="002062C1"/>
    <w:rsid w:val="00212B83"/>
    <w:rsid w:val="0022085D"/>
    <w:rsid w:val="00225170"/>
    <w:rsid w:val="00230890"/>
    <w:rsid w:val="0023440E"/>
    <w:rsid w:val="0023463A"/>
    <w:rsid w:val="00234992"/>
    <w:rsid w:val="00236060"/>
    <w:rsid w:val="0023622F"/>
    <w:rsid w:val="002402E8"/>
    <w:rsid w:val="002434C7"/>
    <w:rsid w:val="00244161"/>
    <w:rsid w:val="00244297"/>
    <w:rsid w:val="002511B0"/>
    <w:rsid w:val="002513AB"/>
    <w:rsid w:val="002536C1"/>
    <w:rsid w:val="00253AA7"/>
    <w:rsid w:val="00256B92"/>
    <w:rsid w:val="00262F1B"/>
    <w:rsid w:val="0026610C"/>
    <w:rsid w:val="002666F9"/>
    <w:rsid w:val="00273B19"/>
    <w:rsid w:val="00280141"/>
    <w:rsid w:val="00280EBF"/>
    <w:rsid w:val="002816CA"/>
    <w:rsid w:val="00283BED"/>
    <w:rsid w:val="0028575D"/>
    <w:rsid w:val="00293554"/>
    <w:rsid w:val="002A12D3"/>
    <w:rsid w:val="002A192B"/>
    <w:rsid w:val="002A47CE"/>
    <w:rsid w:val="002A5C10"/>
    <w:rsid w:val="002B018E"/>
    <w:rsid w:val="002B5C0F"/>
    <w:rsid w:val="002B6E01"/>
    <w:rsid w:val="002C3889"/>
    <w:rsid w:val="002D6D8C"/>
    <w:rsid w:val="002E1AEF"/>
    <w:rsid w:val="002E7E0D"/>
    <w:rsid w:val="002F53EB"/>
    <w:rsid w:val="002F6BE3"/>
    <w:rsid w:val="00305BF0"/>
    <w:rsid w:val="003060CD"/>
    <w:rsid w:val="003120EC"/>
    <w:rsid w:val="00320615"/>
    <w:rsid w:val="0032068F"/>
    <w:rsid w:val="00324C12"/>
    <w:rsid w:val="00337D54"/>
    <w:rsid w:val="003413EB"/>
    <w:rsid w:val="00341FB0"/>
    <w:rsid w:val="003422BC"/>
    <w:rsid w:val="00345782"/>
    <w:rsid w:val="00347058"/>
    <w:rsid w:val="00352179"/>
    <w:rsid w:val="00353991"/>
    <w:rsid w:val="003604F5"/>
    <w:rsid w:val="003607AA"/>
    <w:rsid w:val="00361441"/>
    <w:rsid w:val="003622D6"/>
    <w:rsid w:val="00363B6F"/>
    <w:rsid w:val="0038180A"/>
    <w:rsid w:val="00381BFC"/>
    <w:rsid w:val="003832A4"/>
    <w:rsid w:val="00383CDB"/>
    <w:rsid w:val="00383FC7"/>
    <w:rsid w:val="00384394"/>
    <w:rsid w:val="003904C8"/>
    <w:rsid w:val="003910DC"/>
    <w:rsid w:val="003A199B"/>
    <w:rsid w:val="003A2784"/>
    <w:rsid w:val="003A390B"/>
    <w:rsid w:val="003A6082"/>
    <w:rsid w:val="003B38A4"/>
    <w:rsid w:val="003B55A5"/>
    <w:rsid w:val="003C0A31"/>
    <w:rsid w:val="003C0E02"/>
    <w:rsid w:val="003C5657"/>
    <w:rsid w:val="003C6158"/>
    <w:rsid w:val="003D3B1A"/>
    <w:rsid w:val="003D6D69"/>
    <w:rsid w:val="003E12AB"/>
    <w:rsid w:val="003E17B0"/>
    <w:rsid w:val="003E7356"/>
    <w:rsid w:val="003F10CF"/>
    <w:rsid w:val="003F189B"/>
    <w:rsid w:val="003F40CC"/>
    <w:rsid w:val="003F7896"/>
    <w:rsid w:val="00401C76"/>
    <w:rsid w:val="004062D6"/>
    <w:rsid w:val="004078F0"/>
    <w:rsid w:val="004100C4"/>
    <w:rsid w:val="00413E10"/>
    <w:rsid w:val="00413F5C"/>
    <w:rsid w:val="00414128"/>
    <w:rsid w:val="004171AD"/>
    <w:rsid w:val="00420D77"/>
    <w:rsid w:val="0042359A"/>
    <w:rsid w:val="00423BE7"/>
    <w:rsid w:val="00425447"/>
    <w:rsid w:val="004274AD"/>
    <w:rsid w:val="0043389E"/>
    <w:rsid w:val="004366D0"/>
    <w:rsid w:val="00454BDD"/>
    <w:rsid w:val="00457D9F"/>
    <w:rsid w:val="00465837"/>
    <w:rsid w:val="00470C01"/>
    <w:rsid w:val="00476988"/>
    <w:rsid w:val="00483C6B"/>
    <w:rsid w:val="004874EB"/>
    <w:rsid w:val="0049091F"/>
    <w:rsid w:val="0049147D"/>
    <w:rsid w:val="004929D6"/>
    <w:rsid w:val="0049420C"/>
    <w:rsid w:val="00495689"/>
    <w:rsid w:val="004A17B9"/>
    <w:rsid w:val="004A2C1B"/>
    <w:rsid w:val="004A76D8"/>
    <w:rsid w:val="004B0A18"/>
    <w:rsid w:val="004B3EC6"/>
    <w:rsid w:val="004B6683"/>
    <w:rsid w:val="004B7F1E"/>
    <w:rsid w:val="004C5889"/>
    <w:rsid w:val="004D5B7B"/>
    <w:rsid w:val="004E13B4"/>
    <w:rsid w:val="004E4BB0"/>
    <w:rsid w:val="004F42A4"/>
    <w:rsid w:val="00510E59"/>
    <w:rsid w:val="00514BC4"/>
    <w:rsid w:val="00517217"/>
    <w:rsid w:val="00525B73"/>
    <w:rsid w:val="005331F2"/>
    <w:rsid w:val="00535CAF"/>
    <w:rsid w:val="00541221"/>
    <w:rsid w:val="00545585"/>
    <w:rsid w:val="005463C7"/>
    <w:rsid w:val="005510BA"/>
    <w:rsid w:val="005525B8"/>
    <w:rsid w:val="0055655E"/>
    <w:rsid w:val="0055781A"/>
    <w:rsid w:val="00560C8E"/>
    <w:rsid w:val="00560F12"/>
    <w:rsid w:val="00571175"/>
    <w:rsid w:val="00594D35"/>
    <w:rsid w:val="005A092C"/>
    <w:rsid w:val="005A094D"/>
    <w:rsid w:val="005B07D1"/>
    <w:rsid w:val="005B1E1B"/>
    <w:rsid w:val="005B2EE3"/>
    <w:rsid w:val="005C144B"/>
    <w:rsid w:val="005C6A90"/>
    <w:rsid w:val="005C6CC6"/>
    <w:rsid w:val="005D188F"/>
    <w:rsid w:val="005D3E4E"/>
    <w:rsid w:val="005D45DB"/>
    <w:rsid w:val="005E4EEF"/>
    <w:rsid w:val="005E507C"/>
    <w:rsid w:val="005E55A5"/>
    <w:rsid w:val="005F35F5"/>
    <w:rsid w:val="005F4841"/>
    <w:rsid w:val="005F49BF"/>
    <w:rsid w:val="005F54C0"/>
    <w:rsid w:val="006000ED"/>
    <w:rsid w:val="00600A98"/>
    <w:rsid w:val="00604D19"/>
    <w:rsid w:val="00610AC0"/>
    <w:rsid w:val="00614271"/>
    <w:rsid w:val="00615B6C"/>
    <w:rsid w:val="00623083"/>
    <w:rsid w:val="006258AF"/>
    <w:rsid w:val="006258BC"/>
    <w:rsid w:val="00627539"/>
    <w:rsid w:val="006302DA"/>
    <w:rsid w:val="00641E22"/>
    <w:rsid w:val="00642197"/>
    <w:rsid w:val="00642395"/>
    <w:rsid w:val="00646E13"/>
    <w:rsid w:val="006509C4"/>
    <w:rsid w:val="00652278"/>
    <w:rsid w:val="00655BD5"/>
    <w:rsid w:val="0066220F"/>
    <w:rsid w:val="00665499"/>
    <w:rsid w:val="006726C1"/>
    <w:rsid w:val="00673938"/>
    <w:rsid w:val="00676575"/>
    <w:rsid w:val="00677531"/>
    <w:rsid w:val="00680874"/>
    <w:rsid w:val="00681DEB"/>
    <w:rsid w:val="0068585E"/>
    <w:rsid w:val="00694CD0"/>
    <w:rsid w:val="00697225"/>
    <w:rsid w:val="00697424"/>
    <w:rsid w:val="006A3CAC"/>
    <w:rsid w:val="006A6FCD"/>
    <w:rsid w:val="006A7D91"/>
    <w:rsid w:val="006B0D0A"/>
    <w:rsid w:val="006C012C"/>
    <w:rsid w:val="006C37FC"/>
    <w:rsid w:val="006C5F18"/>
    <w:rsid w:val="006D07FB"/>
    <w:rsid w:val="006D2BCD"/>
    <w:rsid w:val="006D2FE7"/>
    <w:rsid w:val="006D5B03"/>
    <w:rsid w:val="006D7A0D"/>
    <w:rsid w:val="006E5DE6"/>
    <w:rsid w:val="006F233F"/>
    <w:rsid w:val="006F2734"/>
    <w:rsid w:val="006F5B5C"/>
    <w:rsid w:val="006F709C"/>
    <w:rsid w:val="00710C80"/>
    <w:rsid w:val="00724BF5"/>
    <w:rsid w:val="00727DF0"/>
    <w:rsid w:val="007306D5"/>
    <w:rsid w:val="00740216"/>
    <w:rsid w:val="00744022"/>
    <w:rsid w:val="007440FC"/>
    <w:rsid w:val="00744D1F"/>
    <w:rsid w:val="00746CC1"/>
    <w:rsid w:val="0075371E"/>
    <w:rsid w:val="00761C38"/>
    <w:rsid w:val="00765021"/>
    <w:rsid w:val="00765698"/>
    <w:rsid w:val="0077714C"/>
    <w:rsid w:val="00781BD6"/>
    <w:rsid w:val="007856E5"/>
    <w:rsid w:val="00792251"/>
    <w:rsid w:val="00797DCD"/>
    <w:rsid w:val="007A14A5"/>
    <w:rsid w:val="007A234E"/>
    <w:rsid w:val="007A3276"/>
    <w:rsid w:val="007A3FF9"/>
    <w:rsid w:val="007A6099"/>
    <w:rsid w:val="007A693B"/>
    <w:rsid w:val="007B7E74"/>
    <w:rsid w:val="007D1C69"/>
    <w:rsid w:val="007D2294"/>
    <w:rsid w:val="007D2709"/>
    <w:rsid w:val="007E0ED8"/>
    <w:rsid w:val="007E558D"/>
    <w:rsid w:val="007E57F6"/>
    <w:rsid w:val="007E6994"/>
    <w:rsid w:val="007F7B2C"/>
    <w:rsid w:val="00805D02"/>
    <w:rsid w:val="00806E44"/>
    <w:rsid w:val="0081230F"/>
    <w:rsid w:val="00812BF0"/>
    <w:rsid w:val="00813A4B"/>
    <w:rsid w:val="00822103"/>
    <w:rsid w:val="008235CD"/>
    <w:rsid w:val="00826863"/>
    <w:rsid w:val="008429E0"/>
    <w:rsid w:val="00843446"/>
    <w:rsid w:val="0084398D"/>
    <w:rsid w:val="008467BD"/>
    <w:rsid w:val="008518ED"/>
    <w:rsid w:val="008526BF"/>
    <w:rsid w:val="00852A89"/>
    <w:rsid w:val="00857492"/>
    <w:rsid w:val="00860602"/>
    <w:rsid w:val="0086403F"/>
    <w:rsid w:val="008646B1"/>
    <w:rsid w:val="008802FF"/>
    <w:rsid w:val="008828F5"/>
    <w:rsid w:val="008A0760"/>
    <w:rsid w:val="008A2815"/>
    <w:rsid w:val="008A2A56"/>
    <w:rsid w:val="008A5E3C"/>
    <w:rsid w:val="008B1B2C"/>
    <w:rsid w:val="008B45EF"/>
    <w:rsid w:val="008C265C"/>
    <w:rsid w:val="008C2DCE"/>
    <w:rsid w:val="008C627D"/>
    <w:rsid w:val="008D75C6"/>
    <w:rsid w:val="008E13BB"/>
    <w:rsid w:val="008E2E82"/>
    <w:rsid w:val="008E39A8"/>
    <w:rsid w:val="008E757B"/>
    <w:rsid w:val="008F4129"/>
    <w:rsid w:val="008F62DD"/>
    <w:rsid w:val="00903B04"/>
    <w:rsid w:val="0090740D"/>
    <w:rsid w:val="0092068A"/>
    <w:rsid w:val="00921739"/>
    <w:rsid w:val="009256D3"/>
    <w:rsid w:val="00933080"/>
    <w:rsid w:val="00933F17"/>
    <w:rsid w:val="0095413C"/>
    <w:rsid w:val="009772A6"/>
    <w:rsid w:val="009779D9"/>
    <w:rsid w:val="0098196C"/>
    <w:rsid w:val="00986701"/>
    <w:rsid w:val="00986E44"/>
    <w:rsid w:val="009915A5"/>
    <w:rsid w:val="00993DB4"/>
    <w:rsid w:val="00994155"/>
    <w:rsid w:val="009A1E11"/>
    <w:rsid w:val="009A292D"/>
    <w:rsid w:val="009A2BB2"/>
    <w:rsid w:val="009A5F0D"/>
    <w:rsid w:val="009B0077"/>
    <w:rsid w:val="009B0D30"/>
    <w:rsid w:val="009B3671"/>
    <w:rsid w:val="009B4350"/>
    <w:rsid w:val="009B5B87"/>
    <w:rsid w:val="009C0E5B"/>
    <w:rsid w:val="009C2AB0"/>
    <w:rsid w:val="009C320E"/>
    <w:rsid w:val="009D06BC"/>
    <w:rsid w:val="009D138A"/>
    <w:rsid w:val="009D2553"/>
    <w:rsid w:val="009D6743"/>
    <w:rsid w:val="009E2110"/>
    <w:rsid w:val="009E378F"/>
    <w:rsid w:val="009E44F0"/>
    <w:rsid w:val="009F0484"/>
    <w:rsid w:val="009F5385"/>
    <w:rsid w:val="009F6E2B"/>
    <w:rsid w:val="009F743F"/>
    <w:rsid w:val="00A078EE"/>
    <w:rsid w:val="00A16FB5"/>
    <w:rsid w:val="00A177F4"/>
    <w:rsid w:val="00A22112"/>
    <w:rsid w:val="00A221A2"/>
    <w:rsid w:val="00A246D9"/>
    <w:rsid w:val="00A2566E"/>
    <w:rsid w:val="00A263C4"/>
    <w:rsid w:val="00A33327"/>
    <w:rsid w:val="00A34B60"/>
    <w:rsid w:val="00A43162"/>
    <w:rsid w:val="00A43390"/>
    <w:rsid w:val="00A456EB"/>
    <w:rsid w:val="00A52C62"/>
    <w:rsid w:val="00A53A01"/>
    <w:rsid w:val="00A56B43"/>
    <w:rsid w:val="00A60DF8"/>
    <w:rsid w:val="00A625BF"/>
    <w:rsid w:val="00A64353"/>
    <w:rsid w:val="00A83F65"/>
    <w:rsid w:val="00A84756"/>
    <w:rsid w:val="00A858B2"/>
    <w:rsid w:val="00A87CFA"/>
    <w:rsid w:val="00A942CD"/>
    <w:rsid w:val="00A94964"/>
    <w:rsid w:val="00A95B3C"/>
    <w:rsid w:val="00A96D63"/>
    <w:rsid w:val="00AA3667"/>
    <w:rsid w:val="00AA3963"/>
    <w:rsid w:val="00AA3F56"/>
    <w:rsid w:val="00AA79EB"/>
    <w:rsid w:val="00AC125B"/>
    <w:rsid w:val="00AC411A"/>
    <w:rsid w:val="00AC4E7D"/>
    <w:rsid w:val="00AD068E"/>
    <w:rsid w:val="00AD5AAD"/>
    <w:rsid w:val="00AE15E8"/>
    <w:rsid w:val="00AE3D52"/>
    <w:rsid w:val="00AF3793"/>
    <w:rsid w:val="00AF3FCF"/>
    <w:rsid w:val="00AF4A6C"/>
    <w:rsid w:val="00B02CE5"/>
    <w:rsid w:val="00B05415"/>
    <w:rsid w:val="00B057F1"/>
    <w:rsid w:val="00B07024"/>
    <w:rsid w:val="00B135B5"/>
    <w:rsid w:val="00B3275F"/>
    <w:rsid w:val="00B3411A"/>
    <w:rsid w:val="00B3513F"/>
    <w:rsid w:val="00B35C3A"/>
    <w:rsid w:val="00B366A4"/>
    <w:rsid w:val="00B37E36"/>
    <w:rsid w:val="00B47E34"/>
    <w:rsid w:val="00B56BF3"/>
    <w:rsid w:val="00B63339"/>
    <w:rsid w:val="00B64294"/>
    <w:rsid w:val="00B70681"/>
    <w:rsid w:val="00B719E9"/>
    <w:rsid w:val="00B73E16"/>
    <w:rsid w:val="00B77D5F"/>
    <w:rsid w:val="00B8031F"/>
    <w:rsid w:val="00B80422"/>
    <w:rsid w:val="00B855A9"/>
    <w:rsid w:val="00B865A4"/>
    <w:rsid w:val="00B94B0F"/>
    <w:rsid w:val="00BA56BF"/>
    <w:rsid w:val="00BB5652"/>
    <w:rsid w:val="00BC0C57"/>
    <w:rsid w:val="00BC1214"/>
    <w:rsid w:val="00BD63FD"/>
    <w:rsid w:val="00BE27D9"/>
    <w:rsid w:val="00BF2708"/>
    <w:rsid w:val="00C03C0F"/>
    <w:rsid w:val="00C03DC3"/>
    <w:rsid w:val="00C10E9B"/>
    <w:rsid w:val="00C11AA7"/>
    <w:rsid w:val="00C22429"/>
    <w:rsid w:val="00C30A31"/>
    <w:rsid w:val="00C3210D"/>
    <w:rsid w:val="00C366C8"/>
    <w:rsid w:val="00C439E7"/>
    <w:rsid w:val="00C4645E"/>
    <w:rsid w:val="00C46D58"/>
    <w:rsid w:val="00C46E20"/>
    <w:rsid w:val="00C54172"/>
    <w:rsid w:val="00C70270"/>
    <w:rsid w:val="00C76B08"/>
    <w:rsid w:val="00C83ECD"/>
    <w:rsid w:val="00C83F3A"/>
    <w:rsid w:val="00C87D04"/>
    <w:rsid w:val="00C90379"/>
    <w:rsid w:val="00C93036"/>
    <w:rsid w:val="00CA6763"/>
    <w:rsid w:val="00CA776E"/>
    <w:rsid w:val="00CC41E2"/>
    <w:rsid w:val="00CC515E"/>
    <w:rsid w:val="00CC7246"/>
    <w:rsid w:val="00CD6701"/>
    <w:rsid w:val="00CE1DAD"/>
    <w:rsid w:val="00CE60C3"/>
    <w:rsid w:val="00CF32A7"/>
    <w:rsid w:val="00D011BA"/>
    <w:rsid w:val="00D03392"/>
    <w:rsid w:val="00D07223"/>
    <w:rsid w:val="00D12537"/>
    <w:rsid w:val="00D1588C"/>
    <w:rsid w:val="00D15D8F"/>
    <w:rsid w:val="00D16285"/>
    <w:rsid w:val="00D174A5"/>
    <w:rsid w:val="00D23856"/>
    <w:rsid w:val="00D242CC"/>
    <w:rsid w:val="00D27211"/>
    <w:rsid w:val="00D40F71"/>
    <w:rsid w:val="00D46A4B"/>
    <w:rsid w:val="00D5121D"/>
    <w:rsid w:val="00D528D2"/>
    <w:rsid w:val="00D55B17"/>
    <w:rsid w:val="00D625F4"/>
    <w:rsid w:val="00D719EC"/>
    <w:rsid w:val="00D7679C"/>
    <w:rsid w:val="00D9560E"/>
    <w:rsid w:val="00DA4BD3"/>
    <w:rsid w:val="00DB4748"/>
    <w:rsid w:val="00DC01BD"/>
    <w:rsid w:val="00DC2732"/>
    <w:rsid w:val="00DD573A"/>
    <w:rsid w:val="00DD618A"/>
    <w:rsid w:val="00DE4045"/>
    <w:rsid w:val="00DF0A87"/>
    <w:rsid w:val="00E031DD"/>
    <w:rsid w:val="00E04B1D"/>
    <w:rsid w:val="00E10092"/>
    <w:rsid w:val="00E11E73"/>
    <w:rsid w:val="00E21408"/>
    <w:rsid w:val="00E21BC2"/>
    <w:rsid w:val="00E352BF"/>
    <w:rsid w:val="00E42189"/>
    <w:rsid w:val="00E43BDD"/>
    <w:rsid w:val="00E501B2"/>
    <w:rsid w:val="00E6015C"/>
    <w:rsid w:val="00E607A5"/>
    <w:rsid w:val="00E62AD9"/>
    <w:rsid w:val="00E64C00"/>
    <w:rsid w:val="00E73647"/>
    <w:rsid w:val="00E81C85"/>
    <w:rsid w:val="00E82692"/>
    <w:rsid w:val="00E832DF"/>
    <w:rsid w:val="00E837AD"/>
    <w:rsid w:val="00E838C4"/>
    <w:rsid w:val="00E84E5D"/>
    <w:rsid w:val="00E9081F"/>
    <w:rsid w:val="00E9245B"/>
    <w:rsid w:val="00E944CC"/>
    <w:rsid w:val="00E9539F"/>
    <w:rsid w:val="00EA5D99"/>
    <w:rsid w:val="00EB0CB7"/>
    <w:rsid w:val="00EB3B29"/>
    <w:rsid w:val="00EC069B"/>
    <w:rsid w:val="00EC325A"/>
    <w:rsid w:val="00EC3A7F"/>
    <w:rsid w:val="00ED3ED4"/>
    <w:rsid w:val="00ED3EF5"/>
    <w:rsid w:val="00ED6F45"/>
    <w:rsid w:val="00EF52CD"/>
    <w:rsid w:val="00EF6CA1"/>
    <w:rsid w:val="00F137BE"/>
    <w:rsid w:val="00F13A97"/>
    <w:rsid w:val="00F15798"/>
    <w:rsid w:val="00F15E25"/>
    <w:rsid w:val="00F2656C"/>
    <w:rsid w:val="00F309E3"/>
    <w:rsid w:val="00F31BA7"/>
    <w:rsid w:val="00F41AB1"/>
    <w:rsid w:val="00F41F56"/>
    <w:rsid w:val="00F45BC6"/>
    <w:rsid w:val="00F53E09"/>
    <w:rsid w:val="00F6165E"/>
    <w:rsid w:val="00F63533"/>
    <w:rsid w:val="00F641C2"/>
    <w:rsid w:val="00F672B6"/>
    <w:rsid w:val="00F67E97"/>
    <w:rsid w:val="00F753E8"/>
    <w:rsid w:val="00F7667C"/>
    <w:rsid w:val="00F87A5E"/>
    <w:rsid w:val="00F91699"/>
    <w:rsid w:val="00F964C8"/>
    <w:rsid w:val="00FA0B1C"/>
    <w:rsid w:val="00FA1838"/>
    <w:rsid w:val="00FB01AF"/>
    <w:rsid w:val="00FB472A"/>
    <w:rsid w:val="00FB4C2D"/>
    <w:rsid w:val="00FB4E65"/>
    <w:rsid w:val="00FC0F27"/>
    <w:rsid w:val="00FC4C15"/>
    <w:rsid w:val="00FD17DB"/>
    <w:rsid w:val="00FD19FD"/>
    <w:rsid w:val="00FD539A"/>
    <w:rsid w:val="00FD5738"/>
    <w:rsid w:val="00FD5C76"/>
    <w:rsid w:val="00FE0488"/>
    <w:rsid w:val="00FE1988"/>
    <w:rsid w:val="00FE2D7E"/>
    <w:rsid w:val="00FE45A4"/>
    <w:rsid w:val="00FE79B0"/>
    <w:rsid w:val="030940FE"/>
    <w:rsid w:val="04171176"/>
    <w:rsid w:val="0C1E4F0E"/>
    <w:rsid w:val="0EC92C35"/>
    <w:rsid w:val="122079EE"/>
    <w:rsid w:val="138549F6"/>
    <w:rsid w:val="14122CAA"/>
    <w:rsid w:val="19AA0205"/>
    <w:rsid w:val="1C9B677E"/>
    <w:rsid w:val="20523808"/>
    <w:rsid w:val="22994D11"/>
    <w:rsid w:val="26A61A75"/>
    <w:rsid w:val="2E381E2D"/>
    <w:rsid w:val="2FE54B53"/>
    <w:rsid w:val="35BE7BCE"/>
    <w:rsid w:val="3A78529F"/>
    <w:rsid w:val="3F097CD3"/>
    <w:rsid w:val="4D9F72DB"/>
    <w:rsid w:val="50C6411E"/>
    <w:rsid w:val="52547492"/>
    <w:rsid w:val="595F2776"/>
    <w:rsid w:val="5CB66A35"/>
    <w:rsid w:val="5E640775"/>
    <w:rsid w:val="60533EB3"/>
    <w:rsid w:val="6C550928"/>
    <w:rsid w:val="6F31014B"/>
    <w:rsid w:val="6F3B2061"/>
    <w:rsid w:val="71685EB0"/>
    <w:rsid w:val="77176647"/>
    <w:rsid w:val="7A7A6E12"/>
    <w:rsid w:val="7BB61E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34"/>
    <w:qFormat/>
    <w:uiPriority w:val="9"/>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35"/>
    <w:semiHidden/>
    <w:unhideWhenUsed/>
    <w:qFormat/>
    <w:uiPriority w:val="9"/>
    <w:pPr>
      <w:keepNext/>
      <w:keepLines/>
      <w:spacing w:before="40" w:after="0"/>
      <w:outlineLvl w:val="1"/>
    </w:pPr>
    <w:rPr>
      <w:rFonts w:asciiTheme="majorHAnsi" w:hAnsiTheme="majorHAnsi" w:eastAsiaTheme="majorEastAsia" w:cstheme="majorBidi"/>
      <w:color w:val="2F5597" w:themeColor="accent1" w:themeShade="BF"/>
      <w:sz w:val="26"/>
      <w:szCs w:val="26"/>
    </w:rPr>
  </w:style>
  <w:style w:type="paragraph" w:styleId="4">
    <w:name w:val="heading 3"/>
    <w:basedOn w:val="1"/>
    <w:next w:val="1"/>
    <w:link w:val="33"/>
    <w:unhideWhenUsed/>
    <w:qFormat/>
    <w:uiPriority w:val="0"/>
    <w:pPr>
      <w:keepNext/>
      <w:keepLines/>
      <w:spacing w:before="260" w:after="260" w:line="416" w:lineRule="auto"/>
      <w:outlineLvl w:val="2"/>
    </w:pPr>
    <w:rPr>
      <w:rFonts w:eastAsiaTheme="minorHAnsi"/>
      <w:b/>
      <w:bCs/>
      <w:sz w:val="32"/>
    </w:rPr>
  </w:style>
  <w:style w:type="character" w:default="1" w:styleId="13">
    <w:name w:val="Default Paragraph Font"/>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3"/>
    <w:semiHidden/>
    <w:unhideWhenUsed/>
    <w:qFormat/>
    <w:uiPriority w:val="99"/>
    <w:pPr>
      <w:spacing w:line="240" w:lineRule="auto"/>
    </w:pPr>
    <w:rPr>
      <w:sz w:val="20"/>
      <w:szCs w:val="20"/>
    </w:rPr>
  </w:style>
  <w:style w:type="paragraph" w:styleId="6">
    <w:name w:val="Balloon Text"/>
    <w:basedOn w:val="1"/>
    <w:link w:val="24"/>
    <w:semiHidden/>
    <w:unhideWhenUsed/>
    <w:qFormat/>
    <w:uiPriority w:val="99"/>
    <w:pPr>
      <w:spacing w:after="0" w:line="240" w:lineRule="auto"/>
    </w:pPr>
    <w:rPr>
      <w:rFonts w:ascii="Segoe UI" w:hAnsi="Segoe UI" w:cs="Segoe UI"/>
      <w:sz w:val="18"/>
      <w:szCs w:val="18"/>
    </w:rPr>
  </w:style>
  <w:style w:type="paragraph" w:styleId="7">
    <w:name w:val="footer"/>
    <w:basedOn w:val="1"/>
    <w:link w:val="21"/>
    <w:unhideWhenUsed/>
    <w:qFormat/>
    <w:uiPriority w:val="99"/>
    <w:pPr>
      <w:tabs>
        <w:tab w:val="center" w:pos="4680"/>
        <w:tab w:val="right" w:pos="9360"/>
      </w:tabs>
      <w:spacing w:after="0" w:line="240" w:lineRule="auto"/>
    </w:pPr>
  </w:style>
  <w:style w:type="paragraph" w:styleId="8">
    <w:name w:val="header"/>
    <w:basedOn w:val="1"/>
    <w:link w:val="20"/>
    <w:unhideWhenUsed/>
    <w:qFormat/>
    <w:uiPriority w:val="99"/>
    <w:pPr>
      <w:tabs>
        <w:tab w:val="center" w:pos="4680"/>
        <w:tab w:val="right" w:pos="9360"/>
      </w:tabs>
      <w:spacing w:after="0" w:line="240" w:lineRule="auto"/>
    </w:pPr>
  </w:style>
  <w:style w:type="paragraph" w:styleId="9">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10">
    <w:name w:val="annotation subject"/>
    <w:basedOn w:val="5"/>
    <w:next w:val="5"/>
    <w:link w:val="25"/>
    <w:semiHidden/>
    <w:unhideWhenUsed/>
    <w:qFormat/>
    <w:uiPriority w:val="99"/>
    <w:rPr>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character" w:styleId="15">
    <w:name w:val="FollowedHyperlink"/>
    <w:basedOn w:val="13"/>
    <w:semiHidden/>
    <w:unhideWhenUsed/>
    <w:qFormat/>
    <w:uiPriority w:val="99"/>
    <w:rPr>
      <w:color w:val="954F72" w:themeColor="followedHyperlink"/>
      <w:u w:val="single"/>
      <w14:textFill>
        <w14:solidFill>
          <w14:schemeClr w14:val="folHlink"/>
        </w14:solidFill>
      </w14:textFill>
    </w:rPr>
  </w:style>
  <w:style w:type="character" w:styleId="16">
    <w:name w:val="Hyperlink"/>
    <w:basedOn w:val="13"/>
    <w:unhideWhenUsed/>
    <w:qFormat/>
    <w:uiPriority w:val="99"/>
    <w:rPr>
      <w:color w:val="5291A8"/>
      <w:u w:val="single"/>
    </w:rPr>
  </w:style>
  <w:style w:type="character" w:styleId="17">
    <w:name w:val="annotation reference"/>
    <w:basedOn w:val="13"/>
    <w:semiHidden/>
    <w:unhideWhenUsed/>
    <w:qFormat/>
    <w:uiPriority w:val="99"/>
    <w:rPr>
      <w:sz w:val="16"/>
      <w:szCs w:val="16"/>
    </w:rPr>
  </w:style>
  <w:style w:type="paragraph" w:customStyle="1" w:styleId="18">
    <w:name w:val="Intro copy"/>
    <w:qFormat/>
    <w:uiPriority w:val="0"/>
    <w:pPr>
      <w:keepNext/>
      <w:spacing w:after="120" w:line="259" w:lineRule="auto"/>
    </w:pPr>
    <w:rPr>
      <w:rFonts w:ascii="Times New Roman" w:hAnsi="Times New Roman" w:eastAsia="Times New Roman" w:cs="Times New Roman"/>
      <w:i/>
      <w:iCs/>
      <w:color w:val="333F50" w:themeColor="text2" w:themeShade="BF"/>
      <w:lang w:val="en-US" w:eastAsia="en-US" w:bidi="ar-SA"/>
    </w:rPr>
  </w:style>
  <w:style w:type="paragraph" w:styleId="19">
    <w:name w:val="List Paragraph"/>
    <w:basedOn w:val="1"/>
    <w:qFormat/>
    <w:uiPriority w:val="34"/>
    <w:pPr>
      <w:ind w:left="720"/>
      <w:contextualSpacing/>
    </w:pPr>
  </w:style>
  <w:style w:type="character" w:customStyle="1" w:styleId="20">
    <w:name w:val="Header Char"/>
    <w:basedOn w:val="13"/>
    <w:link w:val="8"/>
    <w:qFormat/>
    <w:uiPriority w:val="99"/>
  </w:style>
  <w:style w:type="character" w:customStyle="1" w:styleId="21">
    <w:name w:val="Footer Char"/>
    <w:basedOn w:val="13"/>
    <w:link w:val="7"/>
    <w:qFormat/>
    <w:uiPriority w:val="99"/>
  </w:style>
  <w:style w:type="table" w:customStyle="1" w:styleId="22">
    <w:name w:val="Table Grid2"/>
    <w:basedOn w:val="11"/>
    <w:qFormat/>
    <w:uiPriority w:val="59"/>
    <w:rPr>
      <w:rFonts w:ascii="Arial" w:hAnsi="Arial" w:eastAsia="Calibri"/>
    </w:rPr>
    <w:tblPr>
      <w:tblCellMar>
        <w:left w:w="0" w:type="dxa"/>
        <w:right w:w="0" w:type="dxa"/>
      </w:tblCellMar>
    </w:tblPr>
    <w:trPr>
      <w:cantSplit/>
    </w:trPr>
  </w:style>
  <w:style w:type="character" w:customStyle="1" w:styleId="23">
    <w:name w:val="Comment Text Char"/>
    <w:basedOn w:val="13"/>
    <w:link w:val="5"/>
    <w:semiHidden/>
    <w:qFormat/>
    <w:uiPriority w:val="99"/>
    <w:rPr>
      <w:sz w:val="20"/>
      <w:szCs w:val="20"/>
    </w:rPr>
  </w:style>
  <w:style w:type="character" w:customStyle="1" w:styleId="24">
    <w:name w:val="Balloon Text Char"/>
    <w:basedOn w:val="13"/>
    <w:link w:val="6"/>
    <w:semiHidden/>
    <w:qFormat/>
    <w:uiPriority w:val="99"/>
    <w:rPr>
      <w:rFonts w:ascii="Segoe UI" w:hAnsi="Segoe UI" w:cs="Segoe UI"/>
      <w:sz w:val="18"/>
      <w:szCs w:val="18"/>
    </w:rPr>
  </w:style>
  <w:style w:type="character" w:customStyle="1" w:styleId="25">
    <w:name w:val="Comment Subject Char"/>
    <w:basedOn w:val="23"/>
    <w:link w:val="10"/>
    <w:semiHidden/>
    <w:qFormat/>
    <w:uiPriority w:val="99"/>
    <w:rPr>
      <w:b/>
      <w:bCs/>
      <w:sz w:val="20"/>
      <w:szCs w:val="20"/>
    </w:rPr>
  </w:style>
  <w:style w:type="paragraph" w:customStyle="1" w:styleId="26">
    <w:name w:val="paragraph"/>
    <w:basedOn w:val="1"/>
    <w:qFormat/>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27">
    <w:name w:val="normaltextrun"/>
    <w:basedOn w:val="13"/>
    <w:qFormat/>
    <w:uiPriority w:val="0"/>
  </w:style>
  <w:style w:type="character" w:customStyle="1" w:styleId="28">
    <w:name w:val="eop"/>
    <w:basedOn w:val="13"/>
    <w:qFormat/>
    <w:uiPriority w:val="0"/>
  </w:style>
  <w:style w:type="character" w:customStyle="1" w:styleId="29">
    <w:name w:val="advancedproofingissue"/>
    <w:basedOn w:val="13"/>
    <w:qFormat/>
    <w:uiPriority w:val="0"/>
  </w:style>
  <w:style w:type="character" w:customStyle="1" w:styleId="30">
    <w:name w:val="scxw122036501"/>
    <w:basedOn w:val="13"/>
    <w:qFormat/>
    <w:uiPriority w:val="0"/>
  </w:style>
  <w:style w:type="character" w:customStyle="1" w:styleId="31">
    <w:name w:val="Unresolved Mention1"/>
    <w:basedOn w:val="13"/>
    <w:semiHidden/>
    <w:unhideWhenUsed/>
    <w:qFormat/>
    <w:uiPriority w:val="99"/>
    <w:rPr>
      <w:color w:val="605E5C"/>
      <w:shd w:val="clear" w:color="auto" w:fill="E1DFDD"/>
    </w:rPr>
  </w:style>
  <w:style w:type="character" w:customStyle="1" w:styleId="32">
    <w:name w:val="link1"/>
    <w:basedOn w:val="13"/>
    <w:qFormat/>
    <w:uiPriority w:val="0"/>
    <w:rPr>
      <w:rFonts w:hint="default" w:ascii="Arial" w:hAnsi="Arial" w:cs="Arial"/>
      <w:color w:val="004985"/>
      <w:sz w:val="18"/>
      <w:szCs w:val="18"/>
      <w:u w:val="none"/>
    </w:rPr>
  </w:style>
  <w:style w:type="character" w:customStyle="1" w:styleId="33">
    <w:name w:val="Heading 3 Char"/>
    <w:basedOn w:val="13"/>
    <w:link w:val="4"/>
    <w:uiPriority w:val="0"/>
    <w:rPr>
      <w:rFonts w:asciiTheme="minorHAnsi" w:hAnsiTheme="minorHAnsi" w:eastAsiaTheme="minorHAnsi" w:cstheme="minorBidi"/>
      <w:b/>
      <w:bCs/>
      <w:sz w:val="32"/>
      <w:szCs w:val="22"/>
      <w:lang w:eastAsia="en-US"/>
    </w:rPr>
  </w:style>
  <w:style w:type="character" w:customStyle="1" w:styleId="34">
    <w:name w:val="Heading 1 Char"/>
    <w:basedOn w:val="13"/>
    <w:link w:val="2"/>
    <w:uiPriority w:val="9"/>
    <w:rPr>
      <w:rFonts w:asciiTheme="majorHAnsi" w:hAnsiTheme="majorHAnsi" w:eastAsiaTheme="majorEastAsia" w:cstheme="majorBidi"/>
      <w:color w:val="2F5597" w:themeColor="accent1" w:themeShade="BF"/>
      <w:sz w:val="32"/>
      <w:szCs w:val="32"/>
      <w:lang w:eastAsia="en-US"/>
    </w:rPr>
  </w:style>
  <w:style w:type="character" w:customStyle="1" w:styleId="35">
    <w:name w:val="Heading 2 Char"/>
    <w:basedOn w:val="13"/>
    <w:link w:val="3"/>
    <w:semiHidden/>
    <w:uiPriority w:val="9"/>
    <w:rPr>
      <w:rFonts w:asciiTheme="majorHAnsi" w:hAnsiTheme="majorHAnsi" w:eastAsiaTheme="majorEastAsia" w:cstheme="majorBidi"/>
      <w:color w:val="2F5597" w:themeColor="accent1" w:themeShade="BF"/>
      <w:sz w:val="26"/>
      <w:szCs w:val="26"/>
      <w:lang w:eastAsia="en-US"/>
    </w:rPr>
  </w:style>
  <w:style w:type="paragraph" w:customStyle="1" w:styleId="36">
    <w:name w:val="box"/>
    <w:basedOn w:val="1"/>
    <w:qFormat/>
    <w:uiPriority w:val="0"/>
    <w:pPr>
      <w:spacing w:after="120" w:line="240" w:lineRule="auto"/>
      <w:jc w:val="both"/>
    </w:pPr>
    <w:rPr>
      <w:rFonts w:ascii="Arial" w:hAnsi="Arial" w:eastAsia="Times New Roman" w:cs="Times New Roman"/>
      <w:szCs w:val="24"/>
      <w:lang w:val="en-GB"/>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6.xml"/><Relationship Id="rId13" Type="http://schemas.openxmlformats.org/officeDocument/2006/relationships/customXml" Target="../customXml/item5.xml"/><Relationship Id="rId12" Type="http://schemas.openxmlformats.org/officeDocument/2006/relationships/customXml" Target="../customXml/item4.xml"/><Relationship Id="rId11" Type="http://schemas.openxmlformats.org/officeDocument/2006/relationships/customXml" Target="../customXml/item3.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Description0 xmlns="aaceab04-5e3f-488d-9470-8acf8a96df62" xsi:nil="true"/>
    <Do_x0020_Not_x0020_Distribute xmlns="aaceab04-5e3f-488d-9470-8acf8a96df62" xsi:nil="true"/>
    <Document_x0020_Type xmlns="aaceab04-5e3f-488d-9470-8acf8a96df62" xsi:nil="true"/>
    <Version0 xmlns="aaceab04-5e3f-488d-9470-8acf8a96df6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TermSync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1E7CA9B29A0EE34A937F104860C9C7B6" ma:contentTypeVersion="9" ma:contentTypeDescription="Create a new document." ma:contentTypeScope="" ma:versionID="4c7f5885abcfb9bf1456932ebd5e641b">
  <xsd:schema xmlns:xsd="http://www.w3.org/2001/XMLSchema" xmlns:xs="http://www.w3.org/2001/XMLSchema" xmlns:p="http://schemas.microsoft.com/office/2006/metadata/properties" xmlns:ns2="aaceab04-5e3f-488d-9470-8acf8a96df62" targetNamespace="http://schemas.microsoft.com/office/2006/metadata/properties" ma:root="true" ma:fieldsID="2c8f16a0944bf911e2fd346cf40eed19" ns2:_="">
    <xsd:import namespace="aaceab04-5e3f-488d-9470-8acf8a96df62"/>
    <xsd:element name="properties">
      <xsd:complexType>
        <xsd:sequence>
          <xsd:element name="documentManagement">
            <xsd:complexType>
              <xsd:all>
                <xsd:element ref="ns2:Do_x0020_Not_x0020_Distribute" minOccurs="0"/>
                <xsd:element ref="ns2:Description0" minOccurs="0"/>
                <xsd:element ref="ns2:Document_x0020_Type" minOccurs="0"/>
                <xsd:element ref="ns2:Version0" minOccurs="0"/>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ceab04-5e3f-488d-9470-8acf8a96df62" elementFormDefault="qualified">
    <xsd:import namespace="http://schemas.microsoft.com/office/2006/documentManagement/types"/>
    <xsd:import namespace="http://schemas.microsoft.com/office/infopath/2007/PartnerControls"/>
    <xsd:element name="Do_x0020_Not_x0020_Distribute" ma:index="8" nillable="true" ma:displayName="Do Not Distribute" ma:internalName="Do_x0020_Not_x0020_Distribute">
      <xsd:simpleType>
        <xsd:restriction base="dms:Boolean"/>
      </xsd:simpleType>
    </xsd:element>
    <xsd:element name="Description0" ma:index="10" nillable="true" ma:displayName="Description" ma:internalName="Description0">
      <xsd:simpleType>
        <xsd:restriction base="dms:Note">
          <xsd:maxLength value="255"/>
        </xsd:restriction>
      </xsd:simpleType>
    </xsd:element>
    <xsd:element name="Document_x0020_Type" ma:index="11" nillable="true" ma:displayName="Document Type" ma:format="Dropdown" ma:internalName="Document_x0020_Type">
      <xsd:simpleType>
        <xsd:union memberTypes="dms:Text">
          <xsd:simpleType>
            <xsd:restriction base="dms:Choice">
              <xsd:enumeration value="Amendment"/>
              <xsd:enumeration value="Budget"/>
              <xsd:enumeration value="Deliverable/Milestone"/>
              <xsd:enumeration value="Due Diligence"/>
              <xsd:enumeration value="Final Report"/>
              <xsd:enumeration value="Gender Integration Marker"/>
              <xsd:enumeration value="Progress Report"/>
              <xsd:enumeration value="Proposal"/>
              <xsd:enumeration value="Results Framework &amp; Tracker"/>
              <xsd:enumeration value="Investment Record Snapshot"/>
            </xsd:restriction>
          </xsd:simpleType>
        </xsd:union>
      </xsd:simpleType>
    </xsd:element>
    <xsd:element name="Version0" ma:index="12" nillable="true" ma:displayName="Version" ma:format="Dropdown" ma:internalName="Version0">
      <xsd:simpleType>
        <xsd:restriction base="dms:Choice">
          <xsd:enumeration value="Draft"/>
          <xsd:enumeration value="Final"/>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ma:index="9"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TemplateFieldData displayName="" displayValue="">
  <Investment_Details displayName="Investment Details" displayValue="Investment Details">
    <Agreement_Type>Project Support</Agreement_Type>
    <Authorized_External_Signer/>
    <Forecasted_Approval_Date>05/07/20</Forecasted_Approval_Date>
    <Forecasted_Approval_Date_unformatted>2020-05-07T00:00:00.0000000</Forecasted_Approval_Date_unformatted>
    <Grantee_or_Vendor>Shanghai Science and Technology Exchange Center</Grantee_or_Vendor>
    <Account_Fiscal_Year/>
    <Account_Legal_Name/>
    <Account_Tax_Status/>
    <Account_Website/>
    <Investment_Coordinator_Full_Name>Ying Wang</Investment_Coordinator_Full_Name>
    <Investment_Name>COVID-19: Co-fund with NSFC research program--Epidemology</Investment_Name>
    <Investment_Owner_Full_Name>Bo Sun</Investment_Owner_Full_Name>
    <Investment_Owner_Title>Senior Program Officer, R&amp;D Advocacy</Investment_Owner_Title>
    <INV_Subtype>Project Support</INV_Subtype>
    <Investment_End_Date>06/01/22</Investment_End_Date>
    <Investment_End_Date_unformatted>2022-06-01T00:00:00.0000000</Investment_End_Date_unformatted>
    <Investment_Start_Date>06/01/20</Investment_Start_Date>
    <Investment_Start_Date_unformatted>2020-06-01T00:00:00.0000000</Investment_Start_Date_unformatted>
    <Parent_INV_Subtype/>
    <Salesforce_Record_Type>Investment</Salesforce_Record_Type>
    <Salesforce_Investment_ID>INV-006371</Salesforce_Investment_ID>
    <Secondary_Investment_Owner>Anna DU</Secondary_Investment_Owner>
    <Secondary_Investment_Owner_Title>Senior Program Officer, Health, Innovation and Partnerships</Secondary_Investment_Owner_Title>
    <INV_Type_WF_field_only>Grant</INV_Type_WF_field_only>
    <INV_ID_WF_field_only>INV-006371</INV_ID_WF_field_only>
  </Investment_Details>
  <Amendment_Details displayName="Amendment Details" displayValue="Amendment Details">
    <Amendment_ID>AMD--0</Amendment_ID>
    <Amendment_Overview_and_Rationale/>
    <AMD_Geography_Served_Container displayName="AMD Geography Served" displayValue="AMD Geography Served">
      <AMD_Geography_Served_Id>a2j1R0000013CAmQAM</AMD_Geography_Served_Id>
      <AMD_Geography_Served displayName="" displayValue="">
        <AMD_Location_Path>World</AMD_Location_Path>
        <AMD_Location_Name>World</AMD_Location_Name>
        <AMD_Geo_Amount>450,000.00</AMD_Geo_Amount>
        <AMD_Geo_Change>450,000.00</AMD_Geo_Change>
      </AMD_Geography_Served>
      <AMD_Geography_Served displayName="" displayValue="">
        <AMD_Location_Path>World\ASIA\FAR EAST ASIA\China</AMD_Location_Path>
        <AMD_Location_Name>China</AMD_Location_Name>
        <AMD_Geo_Amount>450,000.00</AMD_Geo_Amount>
        <AMD_Geo_Change>450,000.00</AMD_Geo_Change>
      </AMD_Geography_Served>
    </AMD_Geography_Served_Container>
    <AMD_Location_of_Work_Container displayName="AMD Location of Work" displayValue="AMD Location of Work">
      <AMD_Location_of_Work_Id>a2j1R0000013CAmQAM</AMD_Location_of_Work_Id>
      <AMD_Location_of_Work displayName="" displayValue="">
        <AMD_LOW_Path>World\ASIA\FAR EAST ASIA\China</AMD_LOW_Path>
        <AMD_LOW_Name>China</AMD_LOW_Name>
        <AMD_LOW_Amount>$900,000.00</AMD_LOW_Amount>
        <AMD_LOW_Change>$900,000.00</AMD_LOW_Change>
      </AMD_Location_of_Work>
    </AMD_Location_of_Work_Container>
  </Amendment_Details>
  <Internal_Record_Fields_Grants_and_Contracts displayName="Internal Record Fields Grants and Contracts" displayValue="Internal Record Fields Grants and Contracts">
    <Analysis_and_Recommendation/>
    <Approvers_Container displayName="Approvers" displayValue="Approvers">
      <Approvers_Id>a2j1R0000013CAmQAM</Approvers_Id>
    </Approvers_Container>
    <Estimated_Location_of_Work_Container displayName="Estimated Location of Work" displayValue="Estimated Location of Work">
      <Estimated_Location_of_Work_Id>a2j1R0000013CAmQAM</Estimated_Location_of_Work_Id>
      <Estimated_Location_of_Work displayName="" displayValue="">
        <Location_Path>World\ASIA\FAR EAST ASIA\China</Location_Path>
        <Location_Name>China</Location_Name>
        <Allocation_USD>900,000.00</Allocation_USD>
        <Allocation_Percent>100.00</Allocation_Percent>
      </Estimated_Location_of_Work>
    </Estimated_Location_of_Work_Container>
    <External_Contacts_Container displayName="External Contacts" displayValue="External Contacts">
      <External_Contacts_Id>a2j1R0000013CAmQAM</External_Contacts_Id>
    </External_Contacts_Container>
    <Geography_Served_Container displayName="Geography Served" displayValue="Geography Served">
      <Geography_Served_Id>a2j1R0000013CAmQAM</Geography_Served_Id>
      <Geography_Served displayName="" displayValue="">
        <Geography_Served_Location_Path>World</Geography_Served_Location_Path>
        <Geography_Served_Location_Name>World</Geography_Served_Location_Name>
        <Allocation_USD>450,000.00</Allocation_USD>
        <Allocation_Percent>50.00</Allocation_Percent>
      </Geography_Served>
      <Geography_Served displayName="" displayValue="">
        <Geography_Served_Location_Path>World\ASIA\FAR EAST ASIA\China</Geography_Served_Location_Path>
        <Geography_Served_Location_Name>China</Geography_Served_Location_Name>
        <Allocation_USD>450,000.00</Allocation_USD>
        <Allocation_Percent>50.00</Allocation_Percent>
      </Geography_Served>
    </Geography_Served_Container>
    <Investment_Amount>900,000.00</Investment_Amount>
    <Investment_Amount_unformatted>900000.00</Investment_Amount_unformatted>
    <Investment_Status>In Process</Investment_Status>
    <Investment_Type>Grant</Investment_Type>
    <Managing_Team>China Policy Advocacy &amp; Government Relations</Managing_Team>
    <Investment_Topics_Container displayName="Investment Topics" displayValue="Investment Topics">
      <Investment_Topics_Id>a2j1R0000013CAmQAM</Investment_Topics_Id>
      <Investment_Topics displayName="" displayValue="">
        <Investment_Topics_Full_Path>COVID-19 Response?\Strategic Pillars\Accelerate detection and?suppression</Investment_Topics_Full_Path>
      </Investment_Topics>
      <Investment_Topics displayName="" displayValue="">
        <Investment_Topics_Full_Path>COVID-19 Response?\COVID-19 Phase 1\China engagement</Investment_Topics_Full_Path>
      </Investment_Topics>
    </Investment_Topics_Container>
    <Primary_Contact_Full_Name>Yuanyuan Zhou</Primary_Contact_Full_Name>
    <Related_Orgs_Vendors_Container displayName="Related Orgs Vendors" displayValue="Related Orgs Vendors">
      <Related_Orgs_Vendors_Id>a2j1R0000013CAmQAM</Related_Orgs_Vendors_Id>
    </Related_Orgs_Vendors_Container>
    <Reviewers_Container displayName="Reviewers" displayValue="Reviewers">
      <Reviewers_Id>a2j1R0000013CAmQAM</Reviewers_Id>
      <Reviewers displayName="" displayValue="">
        <Reviewer_Name>GCS User</Reviewer_Name>
        <Subtype>GCS Review</Subtype>
        <Reviewer_Status>Not Requested</Reviewer_Status>
        <Reviewer_Feedback/>
      </Reviewers>
    </Reviewers_Container>
    <Strategy_Container displayName="Strategy" displayValue="Strategy">
      <Strategy_Id>a2j1R0000013CAmQAM</Strategy_Id>
      <Strategy displayName="" displayValue="">
        <Strategy_Path>Global Policy and Advocacy &gt; China Office &gt; China Health &gt; China COVID-19 &gt; Combat COVID-19 for China and for the World</Strategy_Path>
        <Strategy_Allocation_Amount>900,000.00</Strategy_Allocation_Amount>
        <Strategy_Allocation_Percent>100.00</Strategy_Allocation_Percent>
      </Strategy>
    </Strategy_Container>
    <Supporting_Team/>
    <Tasks_Container displayName="Tasks" displayValue="Tasks">
      <Tasks_Id>a2j1R0000013CAmQAM</Tasks_Id>
      <Tasks displayName="" displayValue="">
        <Assigned_To>GCS User</Assigned_To>
        <Subject>Initial Org Due Diligence (SSTEC)</Subject>
        <Priority>Normal</Priority>
        <Due_Date>05/11/2020</Due_Date>
        <Due_Date_unformatted>2020-05-11T00:00:00.0000000</Due_Date_unformatted>
        <Status>Not Started</Status>
      </Tasks>
    </Tasks_Container>
  </Internal_Record_Fields_Grants_and_Contracts>
  <Internal_Grant_Fields displayName="Internal Grant Fields" displayValue="Internal Grant Fields">
    <Deliverable_and_Payments_Container displayName="Deliverable and Payments" displayValue="Deliverable and Payments">
      <Deliverable_and_Payments_Id>a2j1R0000013CAmQAM</Deliverable_and_Payments_Id>
      <Deliverable_and_Payments displayName="" displayValue="">
        <Deliverable>Countersigned Agreement</Deliverable>
        <Due_Date>06/01/2020</Due_Date>
        <Due_Date_unformatted>2020-06-01T00:00:00.0000000</Due_Date_unformatted>
        <Payment_Number>PYMT-019589</Payment_Number>
        <Payment_Date>06/01/2020</Payment_Date>
        <Payment_Date_unformatted>2020-06-01T00:00:00.0000000</Payment_Date_unformatted>
        <Payment_Amount>900,000.00</Payment_Amount>
      </Deliverable_and_Payments>
      <Deliverable_and_Payments displayName="" displayValue="">
        <Deliverable>Progress Report</Deliverable>
        <Due_Date>03/01/2021</Due_Date>
        <Due_Date_unformatted>2021-03-01T00:00:00.0000000</Due_Date_unformatted>
        <Payment_Number/>
        <Payment_Date/>
        <Payment_Date_unformatted/>
        <Payment_Amount/>
      </Deliverable_and_Payments>
    </Deliverable_and_Payments_Container>
    <Final_Report_Details_Container displayName="Final Report Details" displayValue="Final Report Details">
      <Final_Report_Details_Id>a2j1R0000013CAmQAM</Final_Report_Details_Id>
      <Final_Report_Details displayName="" displayValue="">
        <Final_Report_Name>Final Report</Final_Report_Name>
        <Final_Report_Due_Date>06/01/2022</Final_Report_Due_Date>
        <Final_Report_Due_Date_unformatted>2022-06-01T00:00:00.0000000</Final_Report_Due_Date_unformatted>
        <Final_Report_Pay_Number/>
        <Final_Report_Pay_Date/>
        <Final_Report_Pay_Date_unformatted/>
        <Final_Report_Amount/>
      </Final_Report_Details>
    </Final_Report_Details_Container>
    <Cost_Center_Container displayName="Cost Center" displayValue="Cost Center">
      <Cost_Center_Id>a2j1R0000013CAmQAM</Cost_Center_Id>
      <Cost_Center displayName="" displayValue="">
        <Cost_Center_Path>50421 China Office</Cost_Center_Path>
        <CC_Allocation_Amount>900,000.00</CC_Allocation_Amount>
        <CC_Percent>100.00</CC_Percent>
      </Cost_Center>
    </Cost_Center_Container>
  </Internal_Grant_Fields>
  <Active_INV_Payment_Details displayName="Active INV Payment Details" displayValue="Active INV Payment Details">
    <Cost_Center_Active_INV_Container displayName="Cost Center Active INV" displayValue="Cost Center Active INV">
      <Cost_Center_Active_INV_Id>a2j1R0000013CAmQAM</Cost_Center_Active_INV_Id>
    </Cost_Center_Active_INV_Container>
  </Active_INV_Payment_Details>
  <Investment_Description displayName="Investment Description" displayValue="Investment Description">
    <Project_Overview><![CDATA[<html><head><meta charset='UTF-8'></head><body><p><span style="font-size: 10pt; font-family: Arial, sans-serif;">The project is an emergency grant to leverage China?s National Natural Science Foundation?s (NSFC) investment to jointly fight against the COVID-19 in the foundation?s Wave 1 COVID-19 emergency response under the CCO?s core budget. NSFC has provided 1 million USD co-funding to the Chinese grantees of this grant. This grant is the first BMGF-NSFC joint project since Bill renewed the BMGF-NSFC MOU in Nov 2019, aiming to engage China in GH and to leverage more resources from Chinese government funding agencies. The five projects were recommended by NSFC during the COVID-19 outbreak with a nationwide solicitation and selection. Based on this project, CCO aims to kick off more joint efforts to leverage NSFC?s investments into the BMGF prioritized research areas.</span></p><p><br></p><p><span style="font-size: 10pt; font-family: Arial, sans-serif;">The project will have 5 sub-grants to research teams at </span><b style="font-size: 10pt; font-family: Arial, sans-serif;">Chinese Academy of Medical Sciences</b><span style="font-size: 10pt; font-family: Arial, sans-serif;">, </span><b style="font-size: 10pt; font-family: Arial, sans-serif;">Nanjing Medical University</b><span style="font-size: 10pt; font-family: Arial, sans-serif;">, </span><b style="font-size: 10pt; font-family: Arial, sans-serif;">Sun Yat-sen University</b><span style="font-size: 10pt; font-family: Arial, sans-serif;">, </span><b style="font-size: 10pt; font-family: Arial, sans-serif;">Peking University</b><span style="font-size: 10pt; font-family: Arial, sans-serif;"> and </span><b style="font-size: 10pt; font-family: Arial, sans-serif;">Huashan Hospital</b><span style="font-size: 10pt; font-family: Arial, sans-serif;"> in Shanghai.?As a professional service unit for the management of science research projects of the Science and Technology Commission of Shanghai Municipality, Shanghai Science and Technology Exchange Center (SSTEC) will conduct the project by assigning them to these 5 top level COVID-19 research teams, and manage them with each research team by full time experts. The research project includes the following five COVID-19 research subjects:</span></p><p><span style="font-size: 10pt; font-family: Arial, sans-serif;">?</span></p><p><span style="font-size: 10pt; font-family: Arial, sans-serif;">1.</span><span style="font-size: 7pt;">????</span><b style="font-size: 10pt; font-family: Arial, sans-serif;">The study of potential genetic mechanism of differential susceptibility to novel coronavirus through using the Genetic Diversity Mice (Principle Investigator: QIN Chuan, Chinese Academy of Medical Sciences)?</b></p><p><span style="font-size: 10pt; font-family: Arial, sans-serif;">?</span></p><p><span style="font-size: 10pt; font-family: Arial, sans-serif;">This work will mainly focus on the COVID-19 study of potential genetic mechanism of differential susceptibility to novel coronavirus through using the Genetic Diversity Mice. Clinical data suggested that the susceptibility of patients to COVID-19 exhibited age and gender predisposition. Moreover, the patient showed different symptoms after COVID-19 infection, including respiratory symptoms, gastrointestinal symptoms, nucleic acid positive without obvious symptoms or other pathological manifestations. In order to further elucidate the genetic mechanisms responsible for such differences, the research team intends to use the Genetic Diversity Mice, which supposed to reflect population Genetic Diversity and individual differences, to explore the potential genetic mechanism of COVID-19 susceptibility difference.?</span></p><p><span style="font-size: 10pt; font-family: Arial, sans-serif;">?</span></p><p><u style="font-size: 10pt; font-family: Arial, sans-serif;">The 2-year goals include the following</u><span style="font-size: 10pt; font-family: Arial, sans-serif;">:</span></p><p><span style="font-size: 10pt; font-family: Symbol;">?</span><span style="font-size: 7pt;">??????</span><span style="font-size: 10pt; font-family: Arial, sans-serif;">Taking the advantage of mouse gene recombination, the breeding of Genetic Diversity Mouse resources which founded by multi-parental?strains will be enlarged.</span></p><p><span style="font-size: 10pt; font-family: Symbol;">?</span><span style="font-size: 7pt;">??????</span><span style="font-size: 10pt; font-family: Arial, sans-serif;">Optimal infection condition will be established, including virus preparation, virus challenges (Dose, delivery, and age).</span></p><p><span style="font-size: 10pt; font-family: Symbol;">?</span><span style="font-size: 7pt;">??????</span><span style="font-size: 10pt; font-family: Arial, sans-serif;">By comparing the phenotypic differences of different strains of mice (both gender) to 2019-nCoV infection, the phenotypic and genotypic correlation will be analyzed, and the candidate genes related to 2019-nCoV susceptibility will be obtained.?</span></p><p><span style="font-size: 10pt; font-family: Symbol;">?</span><span style="font-size: 7pt;">??????</span><span style="font-size: 10pt; font-family: Arial, sans-serif;">In vitro and in vivo experiment will be carried out to illustrate the function of potential candidate genes by knocking down or over expressing target genes.</span></p><p><span style="font-size: 10pt; font-family: Symbol;">?</span><span style="font-size: 7pt;">??????</span><span style="font-size: 10pt; font-family: Arial, sans-serif;">Through the comparative medical study of mouse and human patients, we will verify whether the potential susceptibility genes are the main reasons for the susceptibility to 2019-nCoV and phenotypic differences after infection.</span></p><p><span style="font-size: 10pt; font-family: Symbol;">?</span><span style="font-size: 7pt;">??????</span><span style="font-size: 10pt; font-family: Arial, sans-serif;">Finally, the funding will mainly be used for the breeding costs of mice breeding, P3 laboratory operation, as well as virus culture and amplification, virological detection, biochemical detection, pathological detection, immune molecular testing, RNA-sequence (if necessary) analysis, as well as labor costs.</span></p><p><span style="font-size: 10pt; font-family: Arial, sans-serif;">?</span></p><p><u style="font-size: 10pt; font-family: Arial, sans-serif;">Primary Outcomes of the research</u><span style="font-size: 10pt; font-family: Arial, sans-serif;">:</span></p><p><span style="font-size: 10pt; font-family: Symbol;">?</span><span style="font-size: 7pt;">??????</span><span style="font-size: 10pt; font-family: Arial, sans-serif;">Obtaining the candidate genes related to the susceptibility of COVID19 infection by phenotypic and genotypic correlation analysis.</span></p><p><span style="font-size: 10pt; font-family: Symbol;">?</span><span style="font-size: 7pt;">??????</span><span style="font-size: 10pt; font-family: Arial, sans-serif;">Illustrating the potential function of candidate genes by in vitro and in vivo experiment.</span></p><p><span style="font-size: 10pt; font-family: Symbol;">?</span><span style="font-size: 7pt;">??????</span><span style="font-size: 10pt; font-family: Arial, sans-serif;">Verifying the candidate genes are the main reason for COVID19 susceptibility among human patients.</span></p><p><span style="font-size: 10pt; font-family: Symbol;">?</span><span style="font-size: 7pt;">??????</span><span style="font-size: 10pt; font-family: Arial, sans-serif;">Collecting the conclusion report of the former three research outcomes.?</span></p><p><span style="font-size: 10pt; font-family: Arial, sans-serif;">?</span></p><p><u style="font-size: 10pt; font-family: Arial, sans-serif;">Project Approach</u></p><p><span style="font-size: 10pt; font-family: Symbol;">?</span><span style="font-size: 7pt;">??????</span><span style="font-size: 10pt; font-family: Arial, sans-serif;">Isolation and amplification of coronavirus 2019-nCoV by animal passage.</span></p><p><span style="font-size: 10pt; font-family: Symbol;">?</span><span style="font-size: 7pt;">??????</span><span style="font-size: 10pt; font-family: Arial, sans-serif;">Enlarging breeding of the Genetic Diversity mice.</span></p><p><span style="font-size: 10pt; font-family: Symbol;">?</span><span style="font-size: 7pt;">??????</span><span style="font-size: 10pt; font-family: Arial, sans-serif;">Pre-experiment: establishment of the optimal experimental conditions for COVID19 infection in Genetic Diversity mice.</span></p><p><span style="font-size: 10pt; font-family: Symbol;">?</span><span style="font-size: 7pt;">??????</span><span style="font-size: 10pt; font-family: Arial, sans-serif;">Phenotypic date collection of Genetic Diversity mice after COVID19 infection.</span></p><p><span style="font-size: 10pt; font-family: Symbol;">?</span><span style="font-size: 7pt;">??????</span><span style="font-size: 10pt; font-family: Arial, sans-serif;">Phenotypic and genotypic correlation analysis, and screening the potential susceptible genes.</span></p><p><span style="font-size: 10pt; font-family: Symbol;">?</span><span style="font-size: 7pt;">??????</span><span style="font-size: 10pt; font-family: Arial, sans-serif;">Verifying the gene function by over expressing or knocking down target genes.</span></p><p><span style="font-size: 10pt; font-family: Symbol;">?</span><span style="font-size: 7pt;">??????</span><span style="font-size: 10pt; font-family: Arial, sans-serif;">Comparative medicine between Genetic Diversity mice and human patients.</span></p><p><span style="font-size: 10pt; font-family: Arial, sans-serif;">?</span></p><p><u style="font-size: 10pt; font-family: Arial, sans-serif;">Potential Risk or Challenges</u></p><p><span style="font-size: 10pt; font-family: Symbol;">?</span><span style="font-size: 7pt;">??????</span><span style="font-size: 10pt; font-family: Arial, sans-serif;">Biosafety: The project has completed 30 copies of risk assessment and standard operating procedures for suspected highly pathogenic viruses causing diseases of unknown causes. There are ABSL-3 and ABSL-2 laboratories can provide the biosafety guarantee of the experiment. The IACUC application has been submitted and approved before the start of the project, approval number QC20003.</span></p><p><span style="font-size: 10pt; font-family: Symbol;">?</span><span style="font-size: 7pt;">??????</span><span style="font-size: 10pt; font-family: Arial, sans-serif;">Species difference: COVID19 may not lead to infection in wild type mice. In order to solve this problem, mouse-adaptive COVID 19 virus strain already developed in our institute which could be infected in wild type mice. Moreover, we also developed the hACE2 mice which carried with human ACE2 gene that supposed to be the virus receptor. By crossing with hACE2 mice with the Genetic Diversity mice, we will obtain the hybrid of F1 with hACE2 gene so that they will be infected with COVID 19 virus.</span></p><p><span style="font-size: 10pt; font-family: Arial, sans-serif;">?</span></p><p><u style="font-size: 10pt; font-family: Arial, sans-serif;">Capacity of CAMS</u><span style="font-size: 10pt; font-family: Arial, sans-serif;">:</span></p><p><span style="font-size: 10pt; font-family: Symbol;">?</span><span style="font-size: 7pt;">??????</span><span style="font-size: 10pt; font-family: Arial, sans-serif;">The Institute of Laboratory Animal of Science (ILAS) at Chinese Academy of Medical Sciences was established in 1980. Its superior unit is the CAMS and Peking Union Medical College (PUMC). After years of development, ILAS has become the largest national laboratory animal research institute in the health system, and the largest comprehensive research institution in China focusing on the research of animal models of human diseases, which provides strong resources and technical support for the smooth implementation of the project.</span></p><p><span style="font-size: 10pt; font-family: Symbol;">?</span><span style="font-size: 7pt;">??????</span><span style="font-size: 10pt; font-family: Arial, sans-serif;">In terms of the research team, the infectious disease research team has rich experience and solid work foundation in the establishment of infectious animal models, and has played an important role at the critical juncture of national infectious disease prevention and control, such as the fight against Influenza in 2003, SARS in 2009 and H7N9 in 2013. Through undertaking the national research projects, as well as the projects cooperated domestically and internationally, out team have developed professional skills and excellent quality in the field of infectious disease research.</span></p><p><span style="font-size: 10pt; font-family: Symbol;">?</span><span style="font-size: 7pt;">??????</span><span style="font-size: 10pt; font-family: Arial, sans-serif;">In terms of hardware and equipment, ILAS has a Biosafety level III Animal Laboratory (ABSL-3) for high-risk pathogen research, in which highly pathogenic influenza virus culture and animal infection experiments can be carried out to ensure biosafety.</span></p><p><span style="font-size: 10pt; font-family: Symbol;">?</span><span style="font-size: 7pt;">??????</span><span style="font-size: 10pt; font-family: Arial, sans-serif;">In terms of mice resources, the Genetic Diversity mouse resources needed in this study were provided by ILAS. The phenotypic analysis of Genetic Diversity mice was carried out by the infectious disease team. The genetic analysis of Genetic Diversity mice was completed with the application of the Geneminer analysis platform established by our institute. The gene knockout of CRISPR-Cas9 technology involved in this study is completed by the genetic center of our institute. The immune molecular mechanism of candidate genes is studied in our immune research group and the molecular laboratory of infectious disease team.</span></p><p><span style="font-size: 10pt; font-family: Arial, sans-serif;">?</span></p><p><span style="font-size: 10pt; font-family: Arial, sans-serif;">2.</span><span style="font-size: 7pt;">????</span><b style="font-size: 10pt; font-family: Arial, sans-serif;">Big-data driven stochastic transmission dynamic modeling for COVID-19 pandemic in China and the globe (Nanjing Medical University)??</b></p><p><span style="font-size: 10pt; font-family: Arial, sans-serif;">?</span></p><p><span style="font-size: 10pt; font-family: Arial, sans-serif;">The budget will be mainly used to cover the costs for application development, system maintenance, research team wages, and students research assistance subsidies. Considering the flexibility of this funding, the investment will significantly boost the quality of the universe simulation system and user interactive experience.?</span></p><p><br></p><p><u style="font-size: 10pt; font-family: Arial, sans-serif;">Primary Outcome</u><span style="font-size: 10pt; font-family: Arial, sans-serif;">:</span></p><p><span style="font-size: 10pt; font-family: Symbol;">?</span><span style="font-size: 7pt;">??????</span><span style="font-size: 10pt; font-family: Arial, sans-serif;">Establishing a more sophisticated stochastic dynamics model building strategy, parameter estimation methods and algorithm?implementation software.</span></p><p><span style="font-size: 10pt; font-family: Symbol;">?</span><span style="font-size: 7pt;">??????</span><span style="font-size: 10pt; font-family: Arial, sans-serif;">Establishment of a real-world simulation system for predicting epidemic trends in infectious diseases.</span></p><p><span style="font-size: 10pt; font-family: Symbol;">?</span><span style="font-size: 7pt;">??????</span><span style="font-size: 10pt; font-family: Arial, sans-serif;">Publishing four high impact methodological and applied research papers.</span></p><p><span style="font-size: 10pt; font-family: Symbol;">?</span><span style="font-size: 7pt;">??????</span><span style="font-size: 10pt; font-family: Arial, sans-serif;">Collecting the conclusion report of the former three research outcomes.</span></p><p><span style="font-size: 10pt; font-family: Arial, sans-serif;">?</span></p><p><u style="font-size: 10pt; font-family: Arial, sans-serif;">Project approach</u><span style="font-size: 10pt; font-family: Arial, sans-serif;">:</span></p><p><span style="font-size: 10pt; font-family: Arial, sans-serif;">This study intends to adopt the research ideas of mathematical theory derivation, statistical simulation, case study and software tool research:</span></p><p><span style="font-size: 10pt; font-family: Symbol;">?</span><span style="font-size: 7pt;">??????</span><span style="font-size: 10pt; font-family: Arial, sans-serif;">Mathematical theory derivation. The proposed stochastic dynamics model is explored from the perspective of stochastic differential equation theory, which has both mathematical certainty and statistical uncertainty and is more suitable for the construction of dynamics model of infectious diseases.</span></p><p><span style="font-size: 10pt; font-family: Symbol;">?</span><span style="font-size: 7pt;">??????</span><span style="font-size: 10pt; font-family: Arial, sans-serif;">Simulation study. Conduct a large number of statistical simulations based on our high-performance computer clusters and workstations to?compare the fit of different models under different hypothetical situations, and then select appropriate models to provide modeling strategies and ideas for practical applications.</span></p><p><span style="font-size: 10pt; font-family: Symbol;">?</span><span style="font-size: 7pt;">??????</span><span style="font-size: 10pt; font-family: Arial, sans-serif;">System construction. Building trajectories and networks of population flow within and across regions is key to cross-regional disease epidemiological trend analysis and outbreak study and evaluation. Based on the population of each region, traffic data of different regions and different periods, and the information of the population flow trajectories obtained from cell phone base station, so as to construct the corresponding network and develop a JAVA-based software simulation system.</span></p><p><span style="font-size: 10pt; font-family: Arial, sans-serif;">?</span></p><p><u style="font-size: 10pt; font-family: Arial, sans-serif;">Potential Risk or Challenges</u></p><p><span style="font-size: 10pt; font-family: Arial, sans-serif;">There are many challenges in studying complex dynamics models, mainly in the following points.</span></p><p><span style="font-size: 10pt; font-family: Symbol;">?</span><span style="font-size: 7pt;">??????</span><span style="font-size: 10pt; font-family: Arial, sans-serif;">Trends in stochastic parameters are important for modelling effects, but how to determine them is inconclusive.</span></p><p><span style="font-size: 10pt; font-family: Symbol;">?</span><span style="font-size: 7pt;">??????</span><span style="font-size: 10pt; font-family: Arial, sans-serif;">Computational technique similar to Bayes requires the definition of a priori distributions of parameters, but it is extremely challenging in the early stage of the epidemic of new infectious diseases while the data accumulation is not large.</span></p><p><span style="font-size: 10pt; font-family: Symbol;">?</span><span style="font-size: 7pt;">??????</span><span style="font-size: 10pt; font-family: Arial, sans-serif;">Existing models rarely use other information to participate in forecasting, and the effective use of relevant information to improve the accuracy of forecasting is also worthy of further study.</span></p><p><span style="font-size: 10pt; font-family: Arial, sans-serif;">?</span></p><p><u style="font-size: 10pt; font-family: Arial, sans-serif;">Capacity of Nanjing Medical University?</u></p><p><span style="font-size: 10pt; font-family: Arial, sans-serif;">Public Health and Preventive Medicine Department of Nanjing Medical University, to which the research group belongs, is certificated as the National A+ Discipline, the first-class doctoral degree discipline and center for post-doctoral studies. Feng Chen, the applicant&#39;s project leader, and Yong yue Wei, a member of the project team, are honored to participate in the national epidemic analysis in Beijing as the Chinese Society of Preventive Medicine Expert Group on Prevention and Control of Novel Coronavirus Infections in Pneumonia. Team members have backgrounds and professional skills in different disciplines such as mathematics, statistics, epidemiology, medicine, etc., with solid theoretical foundations, active thinking, cross-fertilization of expertise, long-term cooperation, fruitful results and the ability to independently design and develop software systems. They all have rich experience in infectious disease data analysis, large medical cohort study data analysis, big data (-omics) data analysis, and have a more in-depth understanding and research on modeling techniques, computer simulation and other analytical techniques related to this topic, is Jiangsu Province biomedical big data innovation team.</span></p><p><span style="font-size: 10pt; font-family: Arial, sans-serif;">?</span></p><p><span style="font-size: 10pt; font-family: Arial, sans-serif;">3.</span><span style="font-size: 7pt;">????</span><b style="font-size: 10pt; font-family: Arial, sans-serif;">The effects of population migration and intervention on spatiotemporal spread of COVID-19 within Hubei Province and across provinces in China (Sun Yat-sen University)</b></p><p><span style="font-size: 10pt; font-family: Arial, sans-serif;">?</span></p><p><u style="font-size: 10pt; font-family: Arial, sans-serif;">Primary Outcomes</u><span style="font-size: 10pt; font-family: Arial, sans-serif;">:</span></p><p><span style="font-size: 10pt; font-family: Arial, sans-serif;">The main results of this study are to determine the driving role of population migration in the spatial and temporal spread of COVID-19 epidemic, and the effects and influencing factors of intervention measures to control the spread of COVID-19 epidemic through shutdown and traffic restriction. The specific aspects are as follows:?</span></p><p><span style="font-size: 10pt; font-family: Symbol;">?</span><span style="font-size: 7pt;">??????</span><span style="font-size: 10pt; font-family: Arial, sans-serif;">To analyze and elucidate the effects and mechanisms of population migration and implemented interventions on the transmission of?COVID-19 in Hubei Province through the dynamics model of infectious disease transmission.</span></p><p><span style="font-size: 10pt; font-family: Symbol;">?</span><span style="font-size: 7pt;">??????</span><span style="font-size: 10pt; font-family: Arial, sans-serif;">To investigate the effects and mechanisms of population movement and migration and implemented interventions on the inter-provincial spread of COVID-19 at the national level through the dynamics model of infectious disease transmission.</span></p><p><span style="font-size: 10pt; font-family: Symbol;">?</span><span style="font-size: 7pt;">??????</span><span style="font-size: 10pt; font-family: Arial, sans-serif;">To determine the effects of demographic, social and environmental factors on population flows and the effects of implemented interventions at different spatial and temporal scales.</span></p><p><span style="font-size: 10pt; font-family: Symbol;">?</span><span style="font-size: 7pt;">??????</span><span style="font-size: 10pt; font-family: Arial, sans-serif;">To collect the conclusion report of the former three research outcomes.</span></p><p><span style="font-size: 10pt; font-family: Arial, sans-serif;">?</span></p><p><u style="font-size: 10pt; font-family: Arial, sans-serif;">Project approach</u><span style="font-size: 10pt; font-family: Arial, sans-serif;">:</span></p><p><span style="font-size: 10pt; font-family: Arial, sans-serif;">Sun Yat-sen University proposed this study based on a big data analysis approach combining with an infectious disease dynamics model that takes into account the infectivity during the incubation period and different transmission routes of COVID-19. 1) By using the Markov Chain Monte Carlo (MCMC), the daily number of patients in each city is fitted to obtain the basic reproduction number R0 in different cities. Then we use the numerical analysis and sensitivity analysis to adjust different population mobility parameters. We calculate the weight of the impact of the floating population on the basic reproduction number and the scale of infection, and quantitatively assess the driving effect of population migration on the spatial and temporal spread of the epidemic. 2) In order to clarify the effect of the current &quot;lockdown of the cities&quot; and traffic control to cut off population migration to control the spatiotemporal spread of the COVID-19 epidemic in Hubei Province, we establish prevention and control interventions dynamic model combined with latent period and potential transmission routes. Based on the SEIR modeling analysis of the spatiotemporal diffusion path of COVID-19 in Hubei Province, we further assess the potential transmission risk among Hubei Province, and clarify the role and effect of traffic restriction in the prevention and control of epidemic spread. 3)According to the results of the first and second part of the above research, the traffic intervention effects of each county and city are divided into different levels. Then use multi-level logistic regression model analysis to explore the impact of population-social-economic factors on the traffic intervention of the COVID-19 epidemic.</span></p><p><span style="font-size: 10pt; font-family: Arial, sans-serif;">?</span></p><p><u style="font-size: 10pt; font-family: Arial, sans-serif;">Potential Challenges</u><span style="font-size: 10pt; font-family: Arial, sans-serif;">:</span></p><p><span style="font-size: 10pt; font-family: Arial, sans-serif;">Based on our preliminary analysis results and the characteristics of the COVID-19 outbreak, this study faces the following two potential challenges:?</span></p><p><span style="font-size: 10pt; font-family: Symbol;">?</span><span style="font-size: 7pt;">??????</span><span style="font-size: 10pt; font-family: Arial, sans-serif;">Due to the uncertainty and the large scale of population migration during Spring Festival, the exact population migration data is not?available.?</span></p><p><span style="font-size: 10pt; font-family: Symbol;">?</span><span style="font-size: 7pt;">??????</span><span style="font-size: 10pt; font-family: Arial, sans-serif;">At the early stage of the epidemic outbreak, most of the details of information (such as epidemiologic characteristic, biochemical test) are not available in some patients.</span></p><p><span style="font-size: 10pt; font-family: Arial, sans-serif;">?</span></p><p><u style="font-size: 10pt; font-family: Arial, sans-serif;">Capacity of Sun Yat-sen University</u></p><p><span style="font-size: 10pt; font-family: Arial, sans-serif;">Sun Yat-sen University is the main responsible institution of this project. It is a leading advanced university in China with sufficient project management and can ensure smooth progress of the project.</span></p><p><span style="font-size: 10pt; font-family: Arial, sans-serif;">Rich experience on dynamic modeling of infectious diseases. The research team led of Dr. Hualiang Lin specializes in epidemiology of infectious diseases, and has substantial experience in climate change and infectious diseases, and related disease surveillance, risk assessment and early warning. We have been engaged in the research on the ecology and control methods of infectious disease vectors and hosts for a long time, especially on the dynamic modeling analysis of infectious diseases.?</span></p><p><span style="font-size: 10pt; font-family: Arial, sans-serif;">International cooperation: The team of this project has established close international and national cooperation with many academic institutions and experts for a long time. Cooperated institutions include: Saint Louis University, Hong Kong University, Chinese Center for Disease Control and Prevention, and The Chinese University of Hong Kong and so on.</span></p><p><span style="font-size: 10pt; font-family: Arial, sans-serif;">Rich experience on project management: The leader of this project has rich experience on project management. Recent five years, the leader of this project has several projects supported by Youth program of NSFC and NSFC.</span></p><p><span style="font-size: 10pt; font-family: Arial, sans-serif;">?</span></p><p><span style="font-size: 10pt; font-family: Arial, sans-serif;">4.</span><span style="font-size: 7pt;">????</span><b style="font-size: 10pt; font-family: Arial, sans-serif;">A study on the outbreak and pattern of development of COVID-19, based on new mathematical and statistical models (Peking University)</b></p><p><span style="font-size: 10pt; font-family: Arial, sans-serif;">?</span></p><p><u style="font-size: 10pt; font-family: Arial, sans-serif;">Primary Outcomes</u><span style="font-size: 10pt; font-family: Arial, sans-serif;">:</span></p><p><span style="font-size: 10pt; font-family: Symbol;">?</span><span style="font-size: 7pt;">??????</span><span style="font-size: 10pt; font-family: Arial, sans-serif;">On the basis of multi-source data fusion, a general mathematical model of virus transmission process and corresponding statistical analysis methods are established to analyze the population susceptibility and mechanism of the novel virus.?</span></p><p><span style="font-size: 10pt; font-family: Symbol;">?</span><span style="font-size: 7pt;">??????</span><span style="font-size: 10pt; font-family: Arial, sans-serif;">Combining the clinical characteristics of COVID-19, the methods of analysis and prediction of the epidemic in key areas are proposed.</span></p><p><span style="font-size: 10pt; font-family: Symbol;">?</span><span style="font-size: 7pt;">??????</span><span style="font-size: 10pt; font-family: Arial, sans-serif;">Based on causal inference framework, the methods of adaptively evaluating the intervention measures under a dynamic environment are proposed.</span></p><p><span style="font-size: 10pt; font-family: Symbol;">?</span><span style="font-size: 7pt;">??????</span><span style="font-size: 10pt; font-family: Arial, sans-serif;">With the virus sequence data, potential super spreaders can be identified and located and hence it provides support for developing targeted prevention and control measures.</span></p><p><span style="font-size: 10pt; font-family: Symbol;">?</span><span style="font-size: 7pt;">??????</span><span style="font-size: 10pt; font-family: Arial, sans-serif;">Build advanced statistical analysis packages to substantialize the theoretical results into an easy-to-use software platform.</span></p><p><span style="font-size: 10pt; font-family: Symbol;">?</span><span style="font-size: 7pt;">??????</span><span style="font-size: 10pt; font-family: Arial, sans-serif;">Form decision recommendations for the prevention and control of COVID-19 on the basis of theoretical study.?</span></p><p><span style="font-size: 10pt; font-family: Symbol;">?</span><span style="font-size: 7pt;">??????</span><span style="font-size: 10pt; font-family: Arial, sans-serif;">Publish more than 10 research in major international and domestic academic journals and conferences.</span></p><p><span style="font-size: 10pt; font-family: Symbol;">?</span><span style="font-size: 7pt;">??????</span><span style="font-size: 10pt; font-family: Arial, sans-serif;">Collect the conclusion report of the foregoing research outcomes.</span></p><p><span style="font-size: 10pt; font-family: Arial, sans-serif;">?</span></p><p><u style="font-size: 10pt; font-family: Arial, sans-serif;">Project Approach</u><span style="font-size: 10pt; font-family: Arial, sans-serif;">:</span></p><p><span style="font-size: 10pt; font-family: Symbol;">?</span><span style="font-size: 7pt;">??????</span><span style="font-size: 10pt; font-family: Arial, sans-serif;">Part 1?Comprehensive analysis of the current status of COVID-19 outbreak</span></p><p><span style="font-size: 10pt; font-family: Arial, sans-serif;">Based on the fundamental theory of interacting particle systems, and taking into the consideration of the unique epidemiological characteristics and features of COVID-19, as well as the spatial and temporal structure of the diffusion process and the growing panic among population, this project builds a new individualized disease transmission model of COVID-19. With multi-source data such as epidemiological data, virus gene data and environmental data, this project provides comprehensive analyzed results of COVID-19.</span></p><p><span style="font-size: 10pt; font-family: Arial, sans-serif;">??</span></p><p><span style="font-size: 10pt; font-family: Symbol;">?</span><span style="font-size: 7pt;">??????</span><span style="font-size: 10pt; font-family: Arial, sans-serif;">Part 2 Evaluation of intervention measures based on causal inference model</span></p><p><span style="font-size: 10pt; font-family: Arial, sans-serif;">In the current outbreak of COVID-19 pandemic, relevant departments of local governments in China have adopted a series of prevention and control measures. These measures have significantly reduced the infection trend, especially in Wuhan. Evaluating the effectiveness of interventions (eg. traffic control, &quot;lockdown of city&quot;) provides valuable prospects for future disease prevention and control. Traditional break point regression or discontinuity time series methods for evaluation of policies compare the outcome variables of interest (eg, the number of confirmed cases) before and after the policy implementations. However, the difference in outcome variables of interest before and after may be the combined result of two aspects: intervention measures are more likely to occur in the epicenter, while at the same time, with the increase of public awareness of the epidemic, residents in the epicenter tend to protect themselves by self-quarantine, waring masking and so on, which reduce the possibility transmissions of disease. Direct comparison of the changes in the outcome variables of interest before and after the intervention measures may overestimate the actual effect of the policy.</span></p><p><span style="font-size: 10pt; font-family: Arial, sans-serif;">?</span></p><p><span style="font-size: 10pt; font-family: Arial, sans-serif;">Unobservable confounding factors raise the endogenous issue of interventions, which results in a correlated relationship between interventions and outcome variables correlated rather than causal. In order to deal with the overlap and interaction between these interventions and the confounding factors such as the characteristics of the city and the severity of the epidemic, it is necessary to adopt a statistical causal model for analysis. This project proposes statistical causal inference model to evaluate the effectiveness of various intervention policies, including inter-city traffic control measures and intra-city traffic control measures, and analyzes the interaction between city size and intervention measures. In addition, economic and social development data can be combined to conduct a more comprehensive and cost-effectiveness analysis of interventions. The results of these evaluations are of great significance to make new prevention and control measures.</span></p><p><span style="font-size: 10pt; font-family: Arial, sans-serif;">?</span></p><p><span style="font-size: 10pt; font-family: Symbol;">?</span><span style="font-size: 7pt;">??????</span><span style="font-size: 10pt; font-family: Arial, sans-serif;">Part 3 Fundamental theoretical studies on mathematical and statistical models</span></p><p><span style="font-size: 10pt; font-family: Arial, sans-serif;">Research on epidemic diffusion based on interactive particle system: This study uses relevant theories of interacting particle systems in modern probability theory and combines latest progress in the quantitative modeling of epidemiology / sociology / ecology in recent years to establishes new mathematical models and theories suitable for the characteristics of this 2019-nCov epidemic, by considering both the spatial and random nature of epidemic development and population mobility. The proposed model takes into account the change of disease status, the diffusion and flow of latent patients in space, as well as the diffusion, delay and asymmetry of disease control information, which can more accurately describe the occurrence and development process of the epidemic, and lay a solid theoretical foundation for the follow-up research contents such as epidemic analysis and intervention evaluation.</span></p><p><br></p><p><span style="font-size: 10pt; font-family: Arial, sans-serif;">Fundamental research on causal inference theory: In the causal inference model, there are unobservable confounding variables besides observable covariates. If the effects of confounding factors are ignored, the estimation of causal effects are biased. If confounding factors are unobservable, causal effects are not always identifiable. This study considers how to use the proxy variables of confounding variables to reflect the characteristics of confounding variables, and to figure out the identifiable conditions of causal effect for the situation where the proxy variables are correlated to the outcome variables of interest. For a causal inference model that satisfies the identifiability conditions, this study explores a robust estimation method for causal effects. In the case of multiple interventions, the estimation methods of treatment effects of different interventions are studied.</span></p><p><span style="font-size: 10pt; font-family: Arial, sans-serif;">?</span></p><p><span style="font-size: 10pt; font-family: Symbol;">?</span><span style="font-size: 7pt;">??????</span><span style="font-size: 10pt; font-family: Arial, sans-serif;">Part 4 Research on methods and tools for assistant of decision-making with regard to acute infectious diseases</span></p><p><span style="font-size: 10pt; font-family: Arial, sans-serif;">According to the preparation on methodology and data collection in the early stage, a system of epidemic dynamic analyses and assistant of decision-making methods for acute infectious diseases is built, and a software platform is built which can be used by research institutes, hospitals, health administrative departments and other relevant institutions. At present, there are many theoretical methods for epidemic analysis and decision-making, many of which have formed R packages. However, these software packages are generally for researchers and are not user friendly. One of the features of this project is to form decision recommendations for the prevention and control of COVID-19 on the basis of theoretical study and uses advanced statistical analysis packages to substantialize the theoretical results into an easy-to-use software platform. The software platform is open to scientific institutes and personnel that are relevant to the research of acute infectious disease epidemic situation, and provides a strong support for the prevention and control of infectious disease in the future.</span></p><p><span style="font-size: 10pt; font-family: Arial, sans-serif;">?</span></p><p><u style="font-size: 10pt; font-family: Arial, sans-serif;">Potential challenges</u><span style="font-size: 10pt; font-family: Arial, sans-serif;">:</span></p><p><span style="font-size: 10pt; font-family: Symbol;">?</span><span style="font-size: 7pt;">??????</span><span style="font-size: 10pt; font-family: Arial, sans-serif;">The comprehensive modeling of virus transmission and population migration involving randomness, spatiality and information asymmetry.</span></p><p><span style="font-size: 10pt; font-family: Symbol;">?</span><span style="font-size: 7pt;">??????</span><span style="font-size: 10pt; font-family: Arial, sans-serif;">The estimation of the infection size in the key areas combined with population migration model and dynamic model.</span></p><p><span style="font-size: 10pt; font-family: Symbol;">?</span><span style="font-size: 7pt;">??????</span><span style="font-size: 10pt; font-family: Arial, sans-serif;">Issues related to identification and estimation of causal effects in the presence of unobservable confounding.</span></p><p><span style="font-size: 10pt; font-family: Arial, sans-serif;">?</span></p><p><u style="font-size: 10pt; font-family: Arial, sans-serif;">Capacity of PKU</u><span style="font-size: 10pt; font-family: Arial, sans-serif;">:</span></p><p><span style="font-size: 10pt; font-family: Arial, sans-serif;">This project is led by Peking university, with the joint participation of the Chinese Center for Disease Control and Prevention and the National Institute for Viral Disease Control and Prevention. The research group has long been engaged in data collection, mathematical and statistical modeling, epidemiological data analysis and software development, etc., which has laid a good technical foundation for the implementation of the project.?</span></p><p><br></p><p><span style="font-size: 10pt; font-family: Arial, sans-serif;">The project leader, Peking University, has one of the best mathematical science, statistical science, data science and public health in China. Combining with the strengths of the Beijing International Mathematics Center of Peking University, the project team forms one of the strongest and most outstanding teams in the field of mathematics, statistics and public health in China.?</span></p><p><span style="font-size: 10pt; font-family: Arial, sans-serif;">The Chinese Center for Disease Control and Prevention is a public institution directly under the National Health Commission. It has undertaken National Science and Technology Major Project led by Shanghai Oriental Hepatobiliary Hospital, participated in research on the meteorological, socioeconomic and demographic risk factors of hand, foot and mouth disease, the dynamic model of the prevention and control of new respiratory infectious diseases, and public health risk prevention and its mode innovation under the background of ?One Belt and One Road?, all supported by National Natural Science Foundation of China.</span></p><p><br></p><p><span style="font-size: 10pt; font-family: Arial, sans-serif;">The National Institute for Viral Disease Control and Prevention is an independent legal entity under the China Center for Disease Control and Prevention, which undertakes the establishment and management, technical guidance and training, data analysis and research of the national virus disease surveillance network and provides scientific evidences and technical support for the government to formulate laws and regulations, regulatory standards, normative guidelines and program plans related to virus disease prevention and control. It also conducts scientific research and postgraduate education, personnel training and technical training related to viral diseases, thus providing new theories, technologies and methods for the prevention and control of viral diseases. Through international cooperation, it jointly guards against viral infectious diseases worldwide. The National Institute for Viral Disease Control and Prevention has undertaken scientific research projects on infectious diseases supported by the National High-tech R&amp;D Program of China (863 Program), the National Program on Key Basic Research Project (973 Program), the National Key Technology R&amp;D Program, the Ministry of Health of China Key Project and the State Commission of Science Technology of China funds and other programs during the Eleven Five-year Plan Period and the Twelfth Five-year Plan Period. It has received more than 130 national and ministerial awards 30 new drug certificates.</span></p><p><span style="font-size: 10pt; font-family: Arial, sans-serif;">??</span></p><p><span style="font-size: 10pt; font-family: Arial, sans-serif;">5.</span><span style="font-size: 7pt;">????</span><b style="font-size: 10pt; font-family: Arial, sans-serif;">Host correlates of COVID-19 infected patients with atypical symptoms (Huashan Hospital)</b></p><p><span style="font-size: 10pt; font-family: Arial, sans-serif;">?</span></p><p><u style="font-size: 10pt; font-family: Arial, sans-serif;">Primary Outcomes</u><span style="font-size: 10pt; font-family: Arial, sans-serif;">:</span></p><p><span style="font-size: 10pt; font-family: Arial, sans-serif;">The overall research goal of this subject is to determine the host factors associated with the SARS-COV-2 atypical-symptom infection and preliminarily analyze the mechanism. The primary outcome will be present with the following 3 key goals:</span></p><p><span style="font-size: 10pt; font-family: Symbol;">?</span><span style="font-size: 7pt;">??????</span><span style="font-size: 10pt; font-family: Arial, sans-serif;">Explain the micro-ecology, cell composition and status of microflora in the micro-environment of respiratory tract tissues of patients with atypical symptoms, and the histopathologic distribution of viruses and cells.</span></p><p><span style="font-size: 10pt; font-family: Symbol;">?</span><span style="font-size: 7pt;">??????</span><span style="font-size: 10pt; font-family: Arial, sans-serif;">Analyze the role of respiratory tract mucosa tissue and system adaptive immune response in controlling disease development in atypical-symptom infection.?</span></p><p><span style="font-size: 10pt; font-family: Symbol;">?</span><span style="font-size: 7pt;">??????</span><span style="font-size: 10pt; font-family: Arial, sans-serif;">Determine the genetic factors of SARS-COV-2 susceptibility, disease development and clinical outcome.</span></p><p><span style="font-size: 10pt; font-family: Symbol;">?</span><span style="font-size: 7pt;">??????</span><span style="font-size: 10pt; font-family: Arial, sans-serif;">Collect the conclusion report of the former three research outcomes.</span></p><p><span style="font-size: 10pt; font-family: Arial, sans-serif;">?</span></p><p><u style="font-size: 10pt; font-family: Arial, sans-serif;">Project approaches</u><span style="font-size: 10pt; font-family: Arial, sans-serif;">:</span></p><p><span style="font-size: 10pt; font-family: Arial, sans-serif;">All the experimental steps are carried out in the biosafety level II laboratory. The operators have a wealth of microbiologic operation experience. After the experiment, the items are sterilized and treated as medical and sanitary garbage.?</span></p><p><span style="font-size: 10pt; font-family: Symbol;">?</span><span style="font-size: 7pt;">??????</span><span style="font-size: 10pt; font-family: Arial, sans-serif;">Microenvironment of SARS-COV-2 infected respiratory tissue</span></p><p><span style="font-size: 10pt; font-family: Arial, sans-serif;">The subject will include 10 cases of &quot;atypical symptoms&quot; infection, 30 cases of common pneumonia, 10-20 cases of severe or critically ill patients. Pharyngeal swabs and sputum samples were taken every 2 days since the first laboratory diagnosis until the isolation is released. After that samples are taken every 2 weeks in a follow-up of 28 days. Generally, samples are taken about 10-20 times within 20-40 days in the hospital, and 2 times in 28 days outside the hospital.?</span></p><p><span style="font-size: 10pt; font-family: Arial, sans-serif;">?</span></p><p><span style="font-size: 10pt; font-family: Symbol;">?</span><span style="font-size: 7pt;">??????</span><span style="font-size: 10pt; font-family: Arial, sans-serif;">The adaptive immune response of SARS-COV-2 infection:</span></p><p><span style="font-size: 10pt; font-family: Arial, sans-serif;">We will include 10 cases of ?atypical symptoms? infected persons, 30 patients with common pneumonia, 10-20 cases of severe or critically ill patients. For pneumonia patients, serum or plasma is collected according to clinical examination requires since the first laboratory diagnosis. Remaining serum or plasma after clinical testing is recycled. PBMC is performed every 6 to 7 days to collect EDTA anticoagulated blood until discharge. For &quot;Atypical symptoms&quot; infected people, serum or plasma and PBMC were collected every 6 ~ 7 days since the first laboratory diagnosis until the isolation is released. After discharge or release of isolation, serum / plasma and PBMC is collected every 2 weeks in the following 28 days.?</span></p><p><span style="font-size: 10pt; font-family: Arial, sans-serif;">?</span></p><p><span style="font-size: 10pt; font-family: Symbol;">?</span><span style="font-size: 7pt;">??????</span><span style="font-size: 10pt; font-family: Arial, sans-serif;">Genetic factors affecting the clinical outcome of SARS-COV-2 infection:</span></p><p><span style="font-size: 10pt; font-family: Arial, sans-serif;">The genomic DNA of whole blood cells was extracted and whole genome re-sequencing was performed on the Illumina 10X sequencing platform after the library was built. The depth of sequencing of each specimen is not less than 10X. Sequencing data is filtered by quality control and high-quality clean reads are selected. Use bowtie2 to map the original file to the human reference genome (hg37 / hg38) to obtain a bam file, and confirm that the sequencing coverage depth of 90% regions is greater than 10X. Use samtools or GATK to correspond module. Perform SNV, small InDel analysis to determine the mutation site in each specimen, and make genetic annotations.</span></p><p><span style="font-size: 10pt; font-family: Arial, sans-serif;">Finally, the clinical grouping is based on disease status. Calculate the corresponding mutation site of each group through GWAS. During the GWAS analysis, individual kinship and group stratification are the main factor of false positivity. Therefore, we adopt hybrid linear model for trait association analysis, population genetic structure as a fixed effect, individual kinship as a random effect to correct the influence of individual kinship and group structure:</span></p><p><span style="font-size: 10pt; font-family: Arial, sans-serif;">?</span></p><p><u style="font-size: 10pt; font-family: Arial, sans-serif;">Potential challenges</u><span style="font-size: 10pt; font-family: Arial, sans-serif;">:</span></p><p><span style="font-size: 10pt; font-family: Arial, sans-serif;">SARS-COV-2 is a brand-new coronavirus that causes human infection. The understanding of the disease progress is at a cumulative stage. Through active epidemic prevention monitoring, we found that in addition to typical pneumonia patients and severe / critically ill patients, there are also atypical-symptom infected persons who have no typical pneumonia symptoms, and carriers of no symptoms. At present, our understanding of the clinical pathogenic mechanism of coronavirus mainly comes from research data on late critical cases of SARS-CoV and MERS-CoV. Understanding of the early events of this disease is lacking.</span></p><p><span style="font-size: 10pt; font-family: Arial, sans-serif;">?</span></p><p><u style="font-size: 10pt; font-family: Arial, sans-serif;">Capacity of Huashan Hospital</u><span style="font-size: 10pt; font-family: Arial, sans-serif;">:</span></p><p><span style="font-size: 10pt; font-family: Arial, sans-serif;">Clinical resource guarantee and mature experimental technology reserve:?</span></p><p><span style="font-size: 10pt; font-family: Arial, sans-serif;">The applicant is the head of Shanghai SARS-COV-2 medical treatment expert group, responsible for the treatment of patients in the Huashan Hospital affiliated to Fudan University and the designated admission hospital Shanghai Public Health Center. As of February 4, more than 200 cases of SARS-COV-2 infection have been diagnosed in Shanghai, including 12 cases of severe or critical illness, and more than 20 cases of &quot;atypical symptoms&quot; infection. According to Shanghai and Fudan University. In accordance with the emergency research requirements of Shanghai and Fudan University, we have collected and preserved specimens such as pharyngeal swabs, whole blood, serum, PBMC, etc. And preliminarily establish laboratory methods such as viral nucleic acid amplification and detection.</span></p><p><br></p><p><span style="font-size: 10pt; font-family: Arial, sans-serif;">The Infectious Diseases team of Fudan University and the Infectious Diseases Institute of Huashan Hospital have long been engaged in the identification of new infectious pathogens and the study of clinical pathogenic mechanisms. We led the prevention and control of Shanghai H1N1 in 2009 and H7N9 in 2013, and report human cases of H7N9 infection and human cases of swine herpes virus for the first time. We also described the role of antibody immunity and T cell immune response in the immune protection and clinical pathogenic mechanism of H1N1 and H7N9 vaccine. The project team has strong technical advantages in genomics and immunology. Equipped with second-generation sequencing, third-generation sequencing detection, bioinformatics analysis platform and systematic immunology analysis platform, we can study the clinical progression model of the new virus in two aspects, pathogen genomics and host immunology. The laboratory has established methods for cell isolation and preservation of peripheral blood specimens, multi-color flow cytometry, RNAscope in situ hybridization, and primary T cell-related in vitro functional experiment technology to provide experimental materials and technical support for the project. The project team is led by experienced professor Zhang Wenhong. The participants are mainly composed of young and middle-aged researchers. They have expertise in genomic sequencing, immunology, bioinformatics, clinical medicine and other research directions.</span></p><p><span style="font-size: 10pt; font-family: Arial, sans-serif;">?</span></p></body></html>]]></Project_Overview>
    <Public_Descrption><![CDATA[<html><head><meta charset='UTF-8'></head><body>to accelerate detection and suppression of current and future COVID-19 outbreaks via research on pandemic modeling, research and animal experiments.</body></html>]]></Public_Descrption>
    <Strategic_Fit><![CDATA[<html><head><meta charset='UTF-8'></head><body><p>The investment aims to support five research teams in China to develop COVID-19 epidemiology models, genetic mechanism of differential susceptibility to novel coronavirus through using the Genetic Diversity Mice, and host correlates of COVID-19 infected patients with atypical symptoms. These studies will match the strategy of COVID-19 by accelerating detection and containment of COVID-19 through pandemic modeling,?promoting vaccine and drug development through animal experiments; and generally enhancing China&#39;s engagement in COVID-19 R&amp;D.</p></body></html>]]></Strategic_Fit>
  </Investment_Description>
  <GRP01>true</GRP01>
  <GRP02>true</GRP02>
  <GRP03>false</GRP03>
  <GRP04>false</GRP04>
  <STR01>false</STR01>
  <STR02>true</STR02>
  <STR03>false</STR03>
  <STR04>false</STR04>
  <STR05>false</STR05>
  <STR06>false</STR06>
  <STR07>false</STR07>
  <STR08>false</STR08>
  <STR09>false</STR09>
  <STR10>false</STR10>
  <STR11>false</STR11>
  <Investment_Managing_Team>GPA</Investment_Managing_Team>
  <Internal_Contract_Fields displayName="Internal Contract Fields" displayValue="Internal Contract Fields">
    <Compensation_and_Fees/>
    <Compensation_and_Fees_Delta>0.00</Compensation_and_Fees_Delta>
    <Compensation_and_Fees_Delta_unformatted>0.00</Compensation_and_Fees_Delta_unformatted>
    <Expenses/>
    <Expenses_Delta>0.00</Expenses_Delta>
    <Expenses_Delta_unformatted>0.00</Expenses_Delta_unformatted>
    <Taxes/>
    <Taxes_Delta>0.00</Taxes_Delta>
    <Taxes_Delta_unformatted>0.00</Taxes_Delta_unformatted>
    <GL_Container displayName="GL" displayValue="GL">
      <GL_Id>a2j1R0000013CAmQAM</GL_Id>
    </GL_Container>
    <Annual_Amounts_Container displayName="Annual Amounts" displayValue="Annual Amounts">
      <Annual_Amounts_Id>a2j1R0000013CAmQAM</Annual_Amounts_Id>
      <Annual_Amounts displayName="" displayValue="">
        <Year>2020</Year>
        <Year_unformatted>2020-06-01T00:00:00.0000000</Year_unformatted>
        <Amount>900,000.00</Amount>
        <Change_AA>0.00</Change_AA>
        <Paid_AA>0.00</Paid_AA>
        <Outstanding_AA>900,000.00</Outstanding_AA>
      </Annual_Amounts>
    </Annual_Amounts_Container>
  </Internal_Contract_Fields>
  <CDC02>false</CDC02>
  <CDC03>false</CDC03>
  <CDC04>false</CDC04>
  <CDC05>false</CDC05>
  <CDC06>false</CDC06>
  <CDC07>false</CDC07>
  <CDC08>false</CDC08>
  <CDC09>false</CDC09>
  <CPC01>false</CPC01>
  <CPC02>false</CPC02>
  <CPC03>false</CPC03>
  <CPC04>false</CPC04>
  <Data_Privacy>false</Data_Privacy>
  <Information_Security>false</Information_Security>
  <Staffing_Independent_Contractor>false</Staffing_Independent_Contractor>
  <Staffing_Onsite>false</Staffing_Onsite>
  <Staffing_Systems>false</Staffing_Systems>
  <Staffing_Temporary_Backfill_Seconded>false</Staffing_Temporary_Backfill_Seconded>
  <Online_Services_Social_Media>false</Online_Services_Social_Media>
  <Online_Services_Software>false</Online_Services_Software>
  <Online_Services_Website>false</Online_Services_Website>
  <Intellectual_Property>false</Intellectual_Property>
  <Technical_Assistance>false</Technical_Assistance>
  <Regulated_Activities>false</Regulated_Activities>
  <Advocacy_Lobbying_Elections>false</Advocacy_Lobbying_Elections>
  <Advocacy_Lobbying_Policy_Legislation>false</Advocacy_Lobbying_Policy_Legislation>
  <Template_Fields displayName="Template Fields" displayValue="Template Fields">
    <In_process_Grant>IN PROCESS GRANT</In_process_Grant>
    <In_process_Contract>IN PROCESS CONTRACT</In_process_Contract>
    <Grant_Header>GRANT</Grant_Header>
  </Template_Fields>
  <ER displayName="ER" displayValue="ER">
    <EXR01_Benefit_From_Work/>
    <EXR1B_Benefit_From_Work_Financially/>
    <EXR02_Project_Addresses_Need/>
    <EXR03_Right_Organization/>
  </ER>
  <Investment_Allocation_Object_Info__Location_of_Work_Container displayName="Investment Allocation Object Info (Location of Work)" displayValue="Investment Allocation Object Info (Location of Work)">
    <Investment_Allocation_Object_Info__Location_of_Work_Id>a2j1R0000013CAmQAM</Investment_Allocation_Object_Info__Location_of_Work_Id>
    <Investment_Allocation_Object_Info__Location_of_Work displayName="" displayValue="">
      <Investment_Allocation_Id__LOW>a3K1R000002eD4HUAU</Investment_Allocation_Id__LOW>
      <INV_Allocation_Number__LOW>INVALC-066005</INV_Allocation_Number__LOW>
      <Allocation_Name__LOW>China</Allocation_Name__LOW>
      <Allocation_Amount__LOW>$900,000.00</Allocation_Amount__LOW>
    </Investment_Allocation_Object_Info__Location_of_Work>
  </Investment_Allocation_Object_Info__Location_of_Work_Container>
  <LOW_Table_Info_Container displayName="LOW Table Info" displayValue="LOW Table Info">
    <LOW_Table_Info_Id>a2j1R0000013CAmQAM</LOW_Table_Info_Id>
    <LOW_Table_Info displayName="" displayValue="">
      <Payment_ID__LOW>PYMT-019589</Payment_ID__LOW>
      <Payment_Date__LOW>June 01, 2020</Payment_Date__LOW>
      <Payment_Date__LOW_unformatted>2020-06-01T00:00:00.0000000</Payment_Date__LOW_unformatted>
    </LOW_Table_Info>
  </LOW_Table_Info_Container>
  <INV_Record_Id>a2j1R0000013CAmQAM</INV_Record_Id>
  <INV_Allocation_Cost_Centers_Container displayName="INV Allocation Cost Centers" displayValue="INV Allocation Cost Centers">
    <INV_Allocation_Cost_Centers_Id>a2j1R0000013CAmQAM</INV_Allocation_Cost_Centers_Id>
    <INV_Allocation_Cost_Centers displayName="" displayValue="">
      <IA_Id>a3K1R000002YQ0hUAG</IA_Id>
      <IA_Type>Cost Center</IA_Type>
      <IA_Subtype/>
      <IA_Allocation_Amount>$900,000.00</IA_Allocation_Amount>
      <IA_Name>INVALC-023720</IA_Name>
    </INV_Allocation_Cost_Centers>
  </INV_Allocation_Cost_Centers_Container>
  <StrategyAllocations_Container displayName="StrategyAllocations" displayValue="StrategyAllocations">
    <StrategyAllocations_Id>a2j1R0000013CAmQAM</StrategyAllocations_Id>
    <StrategyAllocations displayName="" displayValue="">
      <StrategyName>Combat COVID-19 for China and for the World</StrategyName>
      <Strategy_Allocation_Amount>$900,000.00</Strategy_Allocation_Amount>
    </StrategyAllocations>
  </StrategyAllocations_Container>
</TemplateFieldData>
</file>

<file path=customXml/itemProps1.xml><?xml version="1.0" encoding="utf-8"?>
<ds:datastoreItem xmlns:ds="http://schemas.openxmlformats.org/officeDocument/2006/customXml" ds:itemID="{C86CBD69-BFAC-4C79-BD63-0C5041141D5B}">
  <ds:schemaRefs/>
</ds:datastoreItem>
</file>

<file path=customXml/itemProps2.xml><?xml version="1.0" encoding="utf-8"?>
<ds:datastoreItem xmlns:ds="http://schemas.openxmlformats.org/officeDocument/2006/customXml" ds:itemID="{61F57B4B-1286-4A13-BD30-DE8B068E7169}">
  <ds:schemaRefs/>
</ds:datastoreItem>
</file>

<file path=customXml/itemProps3.xml><?xml version="1.0" encoding="utf-8"?>
<ds:datastoreItem xmlns:ds="http://schemas.openxmlformats.org/officeDocument/2006/customXml" ds:itemID="{A4B31E17-D7CA-4383-B05A-93515B2C5D0D}">
  <ds:schemaRefs/>
</ds:datastoreItem>
</file>

<file path=customXml/itemProps4.xml><?xml version="1.0" encoding="utf-8"?>
<ds:datastoreItem xmlns:ds="http://schemas.openxmlformats.org/officeDocument/2006/customXml" ds:itemID="{259D3884-BC14-45D9-B45E-D81D3DABF494}">
  <ds:schemaRefs/>
</ds:datastoreItem>
</file>

<file path=customXml/itemProps5.xml><?xml version="1.0" encoding="utf-8"?>
<ds:datastoreItem xmlns:ds="http://schemas.openxmlformats.org/officeDocument/2006/customXml" ds:itemID="{89DC439A-97A1-4D2A-82C2-E7DDDE46CFB7}">
  <ds:schemaRefs/>
</ds:datastoreItem>
</file>

<file path=customXml/itemProps6.xml><?xml version="1.0" encoding="utf-8"?>
<ds:datastoreItem xmlns:ds="http://schemas.openxmlformats.org/officeDocument/2006/customXml" ds:itemID="{735B8BF3-86AA-4FE0-AC94-03D345555724}">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9</Pages>
  <Words>3800</Words>
  <Characters>22991</Characters>
  <Lines>200</Lines>
  <Paragraphs>55</Paragraphs>
  <TotalTime>3</TotalTime>
  <ScaleCrop>false</ScaleCrop>
  <LinksUpToDate>false</LinksUpToDate>
  <CharactersWithSpaces>26614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2023-03-13T03:43:00Z</dcterms:created>
  <dc:creator>Cody Benedict</dc:creator>
  <cp:lastModifiedBy>h</cp:lastModifiedBy>
  <cp:lastPrinted>2020-07-08T01:38:00Z</cp:lastPrinted>
  <dcterms:modified xsi:type="dcterms:W3CDTF">2023-06-15T08:50:52Z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0x0101001E7CA9B29A0EE34A937F104860C9C7B6</vt:lpwstr>
  </property>
  <property fmtid="{D5CDD505-2E9C-101B-9397-08002B2CF9AE}" pid="3" name="KSOProductBuildVer">
    <vt:lpwstr>2052-11.1.0.14309</vt:lpwstr>
  </property>
  <property fmtid="{D5CDD505-2E9C-101B-9397-08002B2CF9AE}" pid="4" name="ICV">
    <vt:lpwstr>6063C41F1E6D44CAA32E8E31F63EF5B0_13</vt:lpwstr>
  </property>
</Properties>
</file>