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0"/>
        <w:rPr>
          <w:rFonts w:ascii="方正小标宋简体" w:hAnsi="方正小标宋简体" w:eastAsia="方正小标宋简体" w:cs="方正小标宋简体"/>
          <w:sz w:val="44"/>
          <w:szCs w:val="44"/>
        </w:rPr>
      </w:pPr>
      <w:r>
        <w:rPr>
          <w:rFonts w:hint="eastAsia" w:ascii="黑体" w:hAnsi="黑体" w:eastAsia="黑体" w:cs="黑体"/>
          <w:color w:val="333333"/>
          <w:spacing w:val="15"/>
          <w:kern w:val="0"/>
          <w:sz w:val="32"/>
          <w:szCs w:val="32"/>
          <w:shd w:val="clear" w:color="auto" w:fill="FFFFFF"/>
        </w:rPr>
        <w:t>附件</w:t>
      </w:r>
    </w:p>
    <w:p>
      <w:pPr>
        <w:spacing w:line="5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2025年一季度科技服务业营收增长</w:t>
      </w:r>
    </w:p>
    <w:p>
      <w:pPr>
        <w:spacing w:line="5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奖励办事指南</w:t>
      </w:r>
    </w:p>
    <w:p>
      <w:pPr>
        <w:spacing w:line="560" w:lineRule="exact"/>
        <w:rPr>
          <w:rFonts w:ascii="仿宋_GB2312" w:hAnsi="仿宋_GB2312" w:eastAsia="仿宋_GB2312" w:cs="仿宋_GB2312"/>
          <w:sz w:val="32"/>
          <w:szCs w:val="32"/>
        </w:rPr>
      </w:pPr>
    </w:p>
    <w:p>
      <w:pPr>
        <w:spacing w:line="560"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pPr>
        <w:spacing w:line="56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北京经济技术开发区关于推动经济持续回升向好的若干措施》中第3条（2）引育科技服务业实现企稳回升，“科技服务业企业2025年第一季度营业收入实现正增长，按第一季度营业收入增量部分的0.5%给予支持；2025年第一季度营业收入增速达6%，按第一季度营业收入增量部分的1.2%给予支持；最高不超过200万元。”</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pPr>
        <w:spacing w:line="560" w:lineRule="exact"/>
        <w:ind w:firstLine="640" w:firstLineChars="200"/>
        <w:outlineLvl w:val="0"/>
        <w:rPr>
          <w:rFonts w:eastAsia="仿宋_GB2312" w:cs="仿宋_GB2312"/>
          <w:sz w:val="32"/>
          <w:szCs w:val="32"/>
        </w:rPr>
      </w:pPr>
      <w:r>
        <w:rPr>
          <w:rFonts w:hint="eastAsia" w:ascii="仿宋_GB2312" w:hAnsi="仿宋_GB2312" w:eastAsia="仿宋_GB2312" w:cs="仿宋_GB2312"/>
          <w:sz w:val="32"/>
          <w:szCs w:val="32"/>
        </w:rPr>
        <w:t>2025年一季度</w:t>
      </w:r>
      <w:r>
        <w:rPr>
          <w:rFonts w:hint="eastAsia" w:eastAsia="仿宋_GB2312" w:cs="仿宋_GB2312"/>
          <w:sz w:val="32"/>
          <w:szCs w:val="32"/>
        </w:rPr>
        <w:t>科技服务业营收增长奖励</w:t>
      </w:r>
    </w:p>
    <w:p>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pStyle w:val="2"/>
        <w:spacing w:after="0" w:line="560" w:lineRule="exact"/>
        <w:ind w:firstLine="640" w:firstLineChars="200"/>
        <w:rPr>
          <w:rFonts w:hAnsi="仿宋_GB2312"/>
          <w:color w:val="000000"/>
        </w:rPr>
      </w:pPr>
      <w:r>
        <w:rPr>
          <w:rFonts w:hint="eastAsia" w:hAnsi="仿宋_GB2312"/>
          <w:color w:val="000000"/>
        </w:rPr>
        <w:t>（一）</w:t>
      </w:r>
      <w:r>
        <w:rPr>
          <w:rFonts w:hint="eastAsia" w:hAnsi="仿宋_GB2312"/>
          <w:color w:val="000000"/>
          <w:lang w:eastAsia="zh-CN"/>
        </w:rPr>
        <w:t>规模以上</w:t>
      </w:r>
      <w:r>
        <w:rPr>
          <w:rFonts w:hint="eastAsia" w:hAnsi="仿宋_GB2312"/>
          <w:color w:val="000000"/>
        </w:rPr>
        <w:t>科技服务业</w:t>
      </w:r>
      <w:r>
        <w:rPr>
          <w:rFonts w:hint="eastAsia" w:hAnsi="仿宋_GB2312"/>
          <w:color w:val="000000"/>
          <w:lang w:eastAsia="zh-CN"/>
        </w:rPr>
        <w:t>企业</w:t>
      </w:r>
      <w:r>
        <w:rPr>
          <w:rFonts w:hint="eastAsia" w:hAnsi="仿宋_GB2312"/>
          <w:color w:val="000000"/>
        </w:rPr>
        <w:t>（统计代码73、74、75开头）；</w:t>
      </w:r>
    </w:p>
    <w:p>
      <w:pPr>
        <w:pStyle w:val="2"/>
        <w:spacing w:after="0" w:line="560" w:lineRule="exact"/>
        <w:ind w:firstLine="640" w:firstLineChars="200"/>
        <w:rPr>
          <w:rFonts w:hAnsi="仿宋_GB2312"/>
          <w:color w:val="000000"/>
        </w:rPr>
      </w:pPr>
      <w:r>
        <w:rPr>
          <w:rFonts w:hint="eastAsia" w:hAnsi="仿宋_GB2312"/>
          <w:color w:val="000000"/>
        </w:rPr>
        <w:t>（二）</w:t>
      </w:r>
      <w:r>
        <w:rPr>
          <w:rFonts w:hint="eastAsia" w:hAnsi="仿宋_GB2312"/>
          <w:kern w:val="0"/>
          <w:lang w:bidi="ar"/>
        </w:rPr>
        <w:t>亦庄新城225平方公里范围内依法经营，无近3年（</w:t>
      </w:r>
      <w:r>
        <w:rPr>
          <w:rFonts w:hint="eastAsia" w:hAnsi="仿宋_GB2312"/>
          <w:color w:val="000000"/>
        </w:rPr>
        <w:t>2022年4月1日至2025年3月31日</w:t>
      </w:r>
      <w:r>
        <w:rPr>
          <w:rFonts w:hint="eastAsia" w:hAnsi="仿宋_GB2312"/>
          <w:kern w:val="0"/>
          <w:lang w:bidi="ar"/>
        </w:rPr>
        <w:t>）重大行政处罚记录和刑事犯罪记录，未列入严重违法失信主体名单</w:t>
      </w:r>
      <w:r>
        <w:rPr>
          <w:rFonts w:hint="eastAsia" w:hAnsi="仿宋_GB2312"/>
          <w:color w:val="000000"/>
        </w:rPr>
        <w:t>；</w:t>
      </w:r>
    </w:p>
    <w:p>
      <w:pPr>
        <w:pStyle w:val="2"/>
        <w:spacing w:after="0" w:line="560" w:lineRule="exact"/>
        <w:ind w:firstLine="640" w:firstLineChars="200"/>
        <w:rPr>
          <w:rFonts w:hAnsi="仿宋_GB2312"/>
          <w:color w:val="000000"/>
        </w:rPr>
      </w:pPr>
      <w:r>
        <w:rPr>
          <w:rFonts w:hint="eastAsia" w:hAnsi="仿宋_GB2312"/>
          <w:color w:val="000000"/>
        </w:rPr>
        <w:t>（三）</w:t>
      </w:r>
      <w:r>
        <w:rPr>
          <w:rFonts w:hint="eastAsia" w:hAnsi="仿宋_GB2312"/>
          <w:bCs/>
          <w:color w:val="000000"/>
          <w:kern w:val="0"/>
        </w:rPr>
        <w:t>2025年第一季度（1-2月）营业收入实现正增长的</w:t>
      </w:r>
      <w:r>
        <w:rPr>
          <w:rFonts w:hint="eastAsia" w:hAnsi="仿宋_GB2312"/>
          <w:color w:val="000000"/>
        </w:rPr>
        <w:t>科技服务业企业。</w:t>
      </w:r>
    </w:p>
    <w:p>
      <w:pPr>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bCs/>
          <w:color w:val="000000"/>
          <w:kern w:val="0"/>
          <w:sz w:val="32"/>
          <w:szCs w:val="32"/>
        </w:rPr>
        <w:t>四、支持内容及标准</w:t>
      </w:r>
    </w:p>
    <w:p>
      <w:pPr>
        <w:spacing w:line="56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bCs/>
          <w:color w:val="000000"/>
          <w:kern w:val="0"/>
          <w:sz w:val="32"/>
          <w:szCs w:val="32"/>
        </w:rPr>
        <w:t>科技服务业企业2025年第一季度（1-2月）营业收入实现正增长，按第一季度（1-2月）营业收入增量部分的0.5%给予支持；2025年第一季度（1-2月）营业收入增速达6%，按第一季度（1-2月）营业收入增量部分的1.2%给予支持；最高不超过200万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（二）补贴金额以万元为单位，保留一位小数，低于1万元不予兑现，不足千元部分舍去。</w:t>
      </w:r>
    </w:p>
    <w:p>
      <w:pPr>
        <w:pStyle w:val="2"/>
        <w:spacing w:after="0" w:line="560" w:lineRule="exact"/>
        <w:ind w:firstLine="640" w:firstLineChars="200"/>
      </w:pPr>
      <w:r>
        <w:rPr>
          <w:rFonts w:hint="eastAsia" w:ascii="黑体" w:hAnsi="黑体" w:eastAsia="黑体" w:cs="黑体"/>
        </w:rPr>
        <w:t>五、申报材料及要求</w:t>
      </w:r>
    </w:p>
    <w:p>
      <w:pPr>
        <w:spacing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1.2025年一季度科技服务业营收增长奖励申报表，在线填写；</w:t>
      </w:r>
    </w:p>
    <w:p>
      <w:pPr>
        <w:spacing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pPr>
        <w:spacing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3.承诺书，下载模板填写，签字、加盖公章，彩色扫描上传；</w:t>
      </w:r>
    </w:p>
    <w:p>
      <w:pPr>
        <w:spacing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4.银行账户信息，下载模板填写，加盖公章，彩色扫描上传；</w:t>
      </w:r>
    </w:p>
    <w:p>
      <w:pPr>
        <w:pStyle w:val="2"/>
        <w:spacing w:after="0" w:line="560" w:lineRule="exact"/>
        <w:ind w:firstLine="640" w:firstLineChars="200"/>
      </w:pPr>
      <w:r>
        <w:rPr>
          <w:rFonts w:hint="eastAsia" w:hAnsi="仿宋_GB2312"/>
          <w:lang w:val="en-US" w:eastAsia="zh-CN"/>
        </w:rPr>
        <w:t>5</w:t>
      </w:r>
      <w:bookmarkStart w:id="1" w:name="_GoBack"/>
      <w:bookmarkEnd w:id="1"/>
      <w:r>
        <w:rPr>
          <w:rFonts w:hint="eastAsia" w:hAnsi="仿宋_GB2312"/>
        </w:rPr>
        <w:t>.若企业无</w:t>
      </w:r>
      <w:r>
        <w:rPr>
          <w:rFonts w:hint="eastAsia"/>
        </w:rPr>
        <w:t>2024年</w:t>
      </w:r>
      <w:r>
        <w:rPr>
          <w:rFonts w:hint="eastAsia"/>
          <w:lang w:eastAsia="zh-CN"/>
        </w:rPr>
        <w:t>一季度</w:t>
      </w:r>
      <w:r>
        <w:rPr>
          <w:rFonts w:hint="eastAsia"/>
        </w:rPr>
        <w:t>（1-2月）科技服务业营收数据</w:t>
      </w:r>
      <w:r>
        <w:rPr>
          <w:rFonts w:hint="eastAsia" w:hAnsi="仿宋_GB2312"/>
          <w:spacing w:val="6"/>
        </w:rPr>
        <w:t>，需提供说明文件并加盖公章，彩色扫描上传。</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pPr>
        <w:pStyle w:val="8"/>
        <w:widowControl w:val="0"/>
        <w:numPr>
          <w:ilvl w:val="255"/>
          <w:numId w:val="0"/>
        </w:numPr>
        <w:shd w:val="clear" w:color="auto" w:fill="FFFFFF"/>
        <w:spacing w:beforeAutospacing="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w:t>
      </w:r>
      <w:bookmarkStart w:id="0" w:name="_Hlk192779400"/>
      <w:r>
        <w:rPr>
          <w:rFonts w:hint="eastAsia" w:ascii="仿宋_GB2312" w:hAnsi="仿宋_GB2312" w:eastAsia="仿宋_GB2312" w:cs="仿宋_GB2312"/>
          <w:sz w:val="32"/>
          <w:szCs w:val="32"/>
        </w:rPr>
        <w:t>通过北京市人民政府门户网站“政策兑现”栏目(https://zhengce.beijing.gov.cn)或经开区官网“政策兑现”栏目(zcdx.kfqgw.beijing.gov.cn)进入政策兑现综合服务平台</w:t>
      </w:r>
      <w:bookmarkEnd w:id="0"/>
      <w:r>
        <w:rPr>
          <w:rFonts w:hint="eastAsia" w:ascii="仿宋_GB2312" w:hAnsi="仿宋_GB2312" w:eastAsia="仿宋_GB2312" w:cs="仿宋_GB2312"/>
          <w:color w:val="000000"/>
          <w:sz w:val="32"/>
          <w:szCs w:val="32"/>
        </w:rPr>
        <w:t>，注册登录后进行项目申报。如未在规定时间内提交申请的，视为自动放弃。</w:t>
      </w:r>
    </w:p>
    <w:p>
      <w:pPr>
        <w:pStyle w:val="8"/>
        <w:widowControl w:val="0"/>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pPr>
        <w:pStyle w:val="8"/>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：经开区科技和产业促进局对申报材料进行实质审核。</w:t>
      </w:r>
    </w:p>
    <w:p>
      <w:pPr>
        <w:pStyle w:val="8"/>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：经开区科技和产业促进局对审核通过的申报主体拟定兑现扶持奖励金额。</w:t>
      </w:r>
    </w:p>
    <w:p>
      <w:pPr>
        <w:pStyle w:val="8"/>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：经开区科技和产业促进局通过政策兑现综合服务平台对审核通过的申报主体进行公示。</w:t>
      </w:r>
    </w:p>
    <w:p>
      <w:pPr>
        <w:pStyle w:val="8"/>
        <w:widowControl/>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：经公示无异议的，经开区综合服务保障中心完成资金拨付工作。</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pPr>
        <w:spacing w:line="560" w:lineRule="exact"/>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w:t>
      </w:r>
      <w:r>
        <w:rPr>
          <w:rFonts w:hint="eastAsia" w:ascii="仿宋_GB2312" w:hAnsi="仿宋_GB2312" w:eastAsia="仿宋_GB2312" w:cs="仿宋_GB2312"/>
          <w:color w:val="000000"/>
          <w:sz w:val="32"/>
          <w:szCs w:val="32"/>
        </w:rPr>
        <w:t>科技和产业促进局</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pPr>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2025年4月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日至2025年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十、联系方式</w:t>
      </w:r>
    </w:p>
    <w:p>
      <w:pPr>
        <w:spacing w:line="560" w:lineRule="exact"/>
        <w:ind w:firstLine="640" w:firstLineChars="200"/>
        <w:rPr>
          <w:rFonts w:eastAsia="仿宋_GB2312"/>
          <w:sz w:val="32"/>
          <w:szCs w:val="32"/>
        </w:rPr>
      </w:pPr>
      <w:r>
        <w:rPr>
          <w:rFonts w:hint="eastAsia" w:eastAsia="仿宋_GB2312"/>
          <w:sz w:val="32"/>
          <w:szCs w:val="32"/>
        </w:rPr>
        <w:t>政策咨询：</w:t>
      </w:r>
    </w:p>
    <w:p>
      <w:pPr>
        <w:spacing w:line="560" w:lineRule="exact"/>
        <w:ind w:firstLine="640" w:firstLineChars="200"/>
        <w:rPr>
          <w:rFonts w:eastAsia="仿宋_GB2312"/>
          <w:sz w:val="32"/>
          <w:szCs w:val="32"/>
        </w:rPr>
      </w:pPr>
      <w:r>
        <w:rPr>
          <w:rFonts w:hint="eastAsia" w:eastAsia="仿宋_GB2312"/>
          <w:sz w:val="32"/>
          <w:szCs w:val="32"/>
        </w:rPr>
        <w:t>经开区政务服务大厅“政策申报”窗口，联系电话：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pPr>
        <w:spacing w:line="560" w:lineRule="exact"/>
        <w:ind w:firstLine="640" w:firstLineChars="200"/>
        <w:rPr>
          <w:rFonts w:eastAsia="仿宋_GB2312"/>
          <w:sz w:val="32"/>
          <w:szCs w:val="32"/>
        </w:rPr>
      </w:pPr>
      <w:r>
        <w:rPr>
          <w:rFonts w:hint="eastAsia" w:eastAsia="仿宋_GB2312"/>
          <w:sz w:val="32"/>
          <w:szCs w:val="32"/>
        </w:rPr>
        <w:t>经开</w:t>
      </w:r>
      <w:r>
        <w:rPr>
          <w:rFonts w:hint="eastAsia" w:ascii="仿宋_GB2312" w:hAnsi="仿宋_GB2312" w:eastAsia="仿宋_GB2312" w:cs="仿宋_GB2312"/>
          <w:sz w:val="32"/>
          <w:szCs w:val="32"/>
        </w:rPr>
        <w:t>区科技和产业促进局，联系电话：010-67881766、010-67881585，工作日上午9:00—12:00，下午2:00—6:00。</w:t>
      </w:r>
    </w:p>
    <w:p>
      <w:pPr>
        <w:spacing w:line="560" w:lineRule="exact"/>
        <w:ind w:firstLine="640" w:firstLineChars="200"/>
        <w:rPr>
          <w:rFonts w:eastAsia="仿宋_GB2312"/>
          <w:sz w:val="32"/>
          <w:szCs w:val="32"/>
        </w:rPr>
      </w:pPr>
      <w:r>
        <w:rPr>
          <w:rFonts w:hint="eastAsia" w:eastAsia="仿宋_GB2312"/>
          <w:sz w:val="32"/>
          <w:szCs w:val="32"/>
        </w:rPr>
        <w:t>技术支持：</w:t>
      </w:r>
    </w:p>
    <w:p>
      <w:pPr>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：010-67857638，工作日上午9:00—12:00，下午2:00—6:00。</w:t>
      </w:r>
    </w:p>
    <w:p>
      <w:pPr>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F1"/>
    <w:rsid w:val="0001192B"/>
    <w:rsid w:val="00060052"/>
    <w:rsid w:val="00062C5F"/>
    <w:rsid w:val="000F3E06"/>
    <w:rsid w:val="000F62F2"/>
    <w:rsid w:val="001145E7"/>
    <w:rsid w:val="00161422"/>
    <w:rsid w:val="00161CCE"/>
    <w:rsid w:val="00185C95"/>
    <w:rsid w:val="001A608C"/>
    <w:rsid w:val="002838D9"/>
    <w:rsid w:val="00360EF1"/>
    <w:rsid w:val="00395968"/>
    <w:rsid w:val="00457B4D"/>
    <w:rsid w:val="004E2C21"/>
    <w:rsid w:val="006A1513"/>
    <w:rsid w:val="006D0140"/>
    <w:rsid w:val="00710378"/>
    <w:rsid w:val="00731CA2"/>
    <w:rsid w:val="0080792A"/>
    <w:rsid w:val="00844BDB"/>
    <w:rsid w:val="00900A14"/>
    <w:rsid w:val="00923A77"/>
    <w:rsid w:val="0098077A"/>
    <w:rsid w:val="00A3406B"/>
    <w:rsid w:val="00B74D80"/>
    <w:rsid w:val="00C122AB"/>
    <w:rsid w:val="00D460B2"/>
    <w:rsid w:val="00D668C9"/>
    <w:rsid w:val="00D76185"/>
    <w:rsid w:val="00D85A9F"/>
    <w:rsid w:val="00DA6D25"/>
    <w:rsid w:val="00EA199B"/>
    <w:rsid w:val="00FD5E52"/>
    <w:rsid w:val="01540D91"/>
    <w:rsid w:val="01586909"/>
    <w:rsid w:val="015C7ADB"/>
    <w:rsid w:val="01904DED"/>
    <w:rsid w:val="01CB7B50"/>
    <w:rsid w:val="01D948CF"/>
    <w:rsid w:val="020C0B78"/>
    <w:rsid w:val="0225322D"/>
    <w:rsid w:val="02297D4E"/>
    <w:rsid w:val="025430A8"/>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A242F1"/>
    <w:rsid w:val="07B11C5A"/>
    <w:rsid w:val="0840700F"/>
    <w:rsid w:val="08925D0E"/>
    <w:rsid w:val="089620E8"/>
    <w:rsid w:val="08A45B0A"/>
    <w:rsid w:val="08A825A4"/>
    <w:rsid w:val="08B97A0D"/>
    <w:rsid w:val="08BF34BA"/>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0622FE"/>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5D1BF6"/>
    <w:rsid w:val="178B447A"/>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DB79A1C"/>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21755"/>
    <w:rsid w:val="20830764"/>
    <w:rsid w:val="20A81D61"/>
    <w:rsid w:val="20AA00DB"/>
    <w:rsid w:val="20C93EA2"/>
    <w:rsid w:val="20CC2FA6"/>
    <w:rsid w:val="20D514AE"/>
    <w:rsid w:val="20DE69DC"/>
    <w:rsid w:val="2117052E"/>
    <w:rsid w:val="21335EBD"/>
    <w:rsid w:val="21835613"/>
    <w:rsid w:val="21B6442D"/>
    <w:rsid w:val="21C06C9F"/>
    <w:rsid w:val="21D10780"/>
    <w:rsid w:val="21F93416"/>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251611"/>
    <w:rsid w:val="26446E71"/>
    <w:rsid w:val="26602BD3"/>
    <w:rsid w:val="26607CC2"/>
    <w:rsid w:val="271005EA"/>
    <w:rsid w:val="2727206E"/>
    <w:rsid w:val="273D6D1B"/>
    <w:rsid w:val="275E3649"/>
    <w:rsid w:val="2768133E"/>
    <w:rsid w:val="27721755"/>
    <w:rsid w:val="27874815"/>
    <w:rsid w:val="27BB9671"/>
    <w:rsid w:val="281D6715"/>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2B1094"/>
    <w:rsid w:val="336A1FD6"/>
    <w:rsid w:val="336B64D8"/>
    <w:rsid w:val="33E75D8A"/>
    <w:rsid w:val="33EE3BA2"/>
    <w:rsid w:val="341807F9"/>
    <w:rsid w:val="342465E2"/>
    <w:rsid w:val="3469157A"/>
    <w:rsid w:val="347C0671"/>
    <w:rsid w:val="34B21D2C"/>
    <w:rsid w:val="34E04A84"/>
    <w:rsid w:val="34E65163"/>
    <w:rsid w:val="35135498"/>
    <w:rsid w:val="35465824"/>
    <w:rsid w:val="354F42BD"/>
    <w:rsid w:val="3573124D"/>
    <w:rsid w:val="359527A9"/>
    <w:rsid w:val="35B56B4B"/>
    <w:rsid w:val="363700E5"/>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37815"/>
    <w:rsid w:val="39A60AA5"/>
    <w:rsid w:val="39C93AF0"/>
    <w:rsid w:val="39DF8437"/>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D986CF"/>
    <w:rsid w:val="3EE438FE"/>
    <w:rsid w:val="3EF468CE"/>
    <w:rsid w:val="3EFF4096"/>
    <w:rsid w:val="3F087986"/>
    <w:rsid w:val="3F2328C1"/>
    <w:rsid w:val="3F31781F"/>
    <w:rsid w:val="3F346049"/>
    <w:rsid w:val="3F3D4664"/>
    <w:rsid w:val="3F3F1679"/>
    <w:rsid w:val="3F580B78"/>
    <w:rsid w:val="3FAC6CD0"/>
    <w:rsid w:val="3FBC30E1"/>
    <w:rsid w:val="3FD009E6"/>
    <w:rsid w:val="3FD3067D"/>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2E4F9F"/>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79A7FC"/>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6F0D6E"/>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DB666E"/>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CEA433"/>
    <w:rsid w:val="5DFA426F"/>
    <w:rsid w:val="5E60221A"/>
    <w:rsid w:val="5E852B06"/>
    <w:rsid w:val="5EBB0773"/>
    <w:rsid w:val="5EC9424F"/>
    <w:rsid w:val="5F3F6EB7"/>
    <w:rsid w:val="5F595787"/>
    <w:rsid w:val="5F8D1C46"/>
    <w:rsid w:val="5F95EE61"/>
    <w:rsid w:val="5FBD03D0"/>
    <w:rsid w:val="5FE50B69"/>
    <w:rsid w:val="5FF83CA0"/>
    <w:rsid w:val="601B4866"/>
    <w:rsid w:val="60303D05"/>
    <w:rsid w:val="60386110"/>
    <w:rsid w:val="606977B6"/>
    <w:rsid w:val="607F97B6"/>
    <w:rsid w:val="60B75222"/>
    <w:rsid w:val="610966E3"/>
    <w:rsid w:val="61A06ED8"/>
    <w:rsid w:val="61CC6283"/>
    <w:rsid w:val="61EB1FBB"/>
    <w:rsid w:val="620458E9"/>
    <w:rsid w:val="624422CE"/>
    <w:rsid w:val="62812C52"/>
    <w:rsid w:val="6284439F"/>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DE56CD"/>
    <w:rsid w:val="65EE1625"/>
    <w:rsid w:val="667B70FF"/>
    <w:rsid w:val="66815ECF"/>
    <w:rsid w:val="668D4153"/>
    <w:rsid w:val="66A82973"/>
    <w:rsid w:val="672E0D6A"/>
    <w:rsid w:val="677F638E"/>
    <w:rsid w:val="67C1331A"/>
    <w:rsid w:val="67F973CE"/>
    <w:rsid w:val="67FA2696"/>
    <w:rsid w:val="6808097F"/>
    <w:rsid w:val="686076FC"/>
    <w:rsid w:val="68B78093"/>
    <w:rsid w:val="68E479A1"/>
    <w:rsid w:val="6A77609A"/>
    <w:rsid w:val="6A7C3B1B"/>
    <w:rsid w:val="6A9153AF"/>
    <w:rsid w:val="6A9A5399"/>
    <w:rsid w:val="6B3F3AAD"/>
    <w:rsid w:val="6B7CC616"/>
    <w:rsid w:val="6B891093"/>
    <w:rsid w:val="6BA55CDC"/>
    <w:rsid w:val="6BB7AC30"/>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A65E7"/>
    <w:rsid w:val="6D5B79BC"/>
    <w:rsid w:val="6DCF4058"/>
    <w:rsid w:val="6DE9238A"/>
    <w:rsid w:val="6DFC3C93"/>
    <w:rsid w:val="6E2B147B"/>
    <w:rsid w:val="6E33263A"/>
    <w:rsid w:val="6E3A4154"/>
    <w:rsid w:val="6E893371"/>
    <w:rsid w:val="6E8C71B7"/>
    <w:rsid w:val="6EA731B5"/>
    <w:rsid w:val="6EB6086C"/>
    <w:rsid w:val="6EC648DD"/>
    <w:rsid w:val="6EEF0E38"/>
    <w:rsid w:val="6F0C63B7"/>
    <w:rsid w:val="6F345206"/>
    <w:rsid w:val="6F941165"/>
    <w:rsid w:val="6F9D2D94"/>
    <w:rsid w:val="6FBC2D32"/>
    <w:rsid w:val="6FD7947B"/>
    <w:rsid w:val="70007B47"/>
    <w:rsid w:val="701E1815"/>
    <w:rsid w:val="702F1D23"/>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40941C7"/>
    <w:rsid w:val="747FC4AB"/>
    <w:rsid w:val="74A24F54"/>
    <w:rsid w:val="74DA21D9"/>
    <w:rsid w:val="75250E17"/>
    <w:rsid w:val="75576C93"/>
    <w:rsid w:val="75711074"/>
    <w:rsid w:val="75893E4D"/>
    <w:rsid w:val="75BA3B6D"/>
    <w:rsid w:val="75D12F9F"/>
    <w:rsid w:val="75E87AE4"/>
    <w:rsid w:val="76206188"/>
    <w:rsid w:val="767E6D89"/>
    <w:rsid w:val="768B48F5"/>
    <w:rsid w:val="76A32A08"/>
    <w:rsid w:val="76BF9935"/>
    <w:rsid w:val="76DD66F2"/>
    <w:rsid w:val="76EC6FC3"/>
    <w:rsid w:val="770B2702"/>
    <w:rsid w:val="7718563E"/>
    <w:rsid w:val="776A3F9A"/>
    <w:rsid w:val="77901978"/>
    <w:rsid w:val="77915027"/>
    <w:rsid w:val="779D4F4D"/>
    <w:rsid w:val="77CE7C8C"/>
    <w:rsid w:val="77CF1648"/>
    <w:rsid w:val="781D2C7A"/>
    <w:rsid w:val="783A56AF"/>
    <w:rsid w:val="78413BD7"/>
    <w:rsid w:val="788F717D"/>
    <w:rsid w:val="78915F29"/>
    <w:rsid w:val="78A77DB4"/>
    <w:rsid w:val="78B31BDE"/>
    <w:rsid w:val="78E70DA1"/>
    <w:rsid w:val="78F21850"/>
    <w:rsid w:val="791B03AB"/>
    <w:rsid w:val="792F94A5"/>
    <w:rsid w:val="795AA22A"/>
    <w:rsid w:val="79714C66"/>
    <w:rsid w:val="79D31F15"/>
    <w:rsid w:val="79D657CC"/>
    <w:rsid w:val="79E40A04"/>
    <w:rsid w:val="7A151811"/>
    <w:rsid w:val="7B201A3E"/>
    <w:rsid w:val="7B3C52F1"/>
    <w:rsid w:val="7B9D0472"/>
    <w:rsid w:val="7BA046F3"/>
    <w:rsid w:val="7BBA356A"/>
    <w:rsid w:val="7BC37346"/>
    <w:rsid w:val="7BE71A21"/>
    <w:rsid w:val="7BEF2C60"/>
    <w:rsid w:val="7BF87E00"/>
    <w:rsid w:val="7BFFF723"/>
    <w:rsid w:val="7C064DA7"/>
    <w:rsid w:val="7C0A2379"/>
    <w:rsid w:val="7C551636"/>
    <w:rsid w:val="7C5F3CF1"/>
    <w:rsid w:val="7C697AB1"/>
    <w:rsid w:val="7CB460B3"/>
    <w:rsid w:val="7CD445C4"/>
    <w:rsid w:val="7CE372FC"/>
    <w:rsid w:val="7CED17F8"/>
    <w:rsid w:val="7CF17B62"/>
    <w:rsid w:val="7CFE225B"/>
    <w:rsid w:val="7D274421"/>
    <w:rsid w:val="7D3D452B"/>
    <w:rsid w:val="7D957EE1"/>
    <w:rsid w:val="7DEBE2E1"/>
    <w:rsid w:val="7DEEA775"/>
    <w:rsid w:val="7DFC4CA2"/>
    <w:rsid w:val="7E137B54"/>
    <w:rsid w:val="7E4E0E62"/>
    <w:rsid w:val="7E503B32"/>
    <w:rsid w:val="7E6B7B24"/>
    <w:rsid w:val="7E757D8F"/>
    <w:rsid w:val="7E782A8A"/>
    <w:rsid w:val="7EBBE1F8"/>
    <w:rsid w:val="7ECFF1D4"/>
    <w:rsid w:val="7EEE5581"/>
    <w:rsid w:val="7EFFFA7B"/>
    <w:rsid w:val="7F7F77AD"/>
    <w:rsid w:val="7FC14E2C"/>
    <w:rsid w:val="7FDBC790"/>
    <w:rsid w:val="7FFB938D"/>
    <w:rsid w:val="8FCF4535"/>
    <w:rsid w:val="9F3BC8FA"/>
    <w:rsid w:val="9F6F6015"/>
    <w:rsid w:val="9FC7CCDF"/>
    <w:rsid w:val="ABCF4355"/>
    <w:rsid w:val="ADFF451A"/>
    <w:rsid w:val="B3FF6548"/>
    <w:rsid w:val="B43F5634"/>
    <w:rsid w:val="B49F4D3B"/>
    <w:rsid w:val="BCE4FCBF"/>
    <w:rsid w:val="C7DB93C8"/>
    <w:rsid w:val="C7FFE5CF"/>
    <w:rsid w:val="CF7F9A36"/>
    <w:rsid w:val="CF97D084"/>
    <w:rsid w:val="DAFD4DD9"/>
    <w:rsid w:val="DB71E6E6"/>
    <w:rsid w:val="DD7E7DC7"/>
    <w:rsid w:val="DE7F2194"/>
    <w:rsid w:val="DEEF8FC6"/>
    <w:rsid w:val="DEF5E07B"/>
    <w:rsid w:val="E5FDC9EA"/>
    <w:rsid w:val="E6D371D5"/>
    <w:rsid w:val="E7DFB1E5"/>
    <w:rsid w:val="EA53580D"/>
    <w:rsid w:val="EAE14953"/>
    <w:rsid w:val="EB5B2B51"/>
    <w:rsid w:val="ED42F754"/>
    <w:rsid w:val="EF63F43C"/>
    <w:rsid w:val="EF7F5DB2"/>
    <w:rsid w:val="EFEEB9E2"/>
    <w:rsid w:val="EFFAC711"/>
    <w:rsid w:val="F2D351BD"/>
    <w:rsid w:val="F5DBA8FA"/>
    <w:rsid w:val="F75E5440"/>
    <w:rsid w:val="F7AE32F0"/>
    <w:rsid w:val="F7BBA8E6"/>
    <w:rsid w:val="F7EF31E4"/>
    <w:rsid w:val="FBD5B9DF"/>
    <w:rsid w:val="FBFF82E3"/>
    <w:rsid w:val="FC7FAFF5"/>
    <w:rsid w:val="FCCF0E65"/>
    <w:rsid w:val="FCF038CF"/>
    <w:rsid w:val="FCFF7DD9"/>
    <w:rsid w:val="FD3F7C30"/>
    <w:rsid w:val="FDD71030"/>
    <w:rsid w:val="FEFD5981"/>
    <w:rsid w:val="FF341A5F"/>
    <w:rsid w:val="FF9A82EF"/>
    <w:rsid w:val="FFEF3370"/>
    <w:rsid w:val="FFF73784"/>
    <w:rsid w:val="FFF926ED"/>
    <w:rsid w:val="FFFBA9F8"/>
    <w:rsid w:val="FFFC77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left="0" w:leftChars="0" w:firstLine="420"/>
    </w:pPr>
    <w:rPr>
      <w:rFonts w:ascii="仿宋_GB2312" w:eastAsia="仿宋_GB2312" w:cs="仿宋_GB2312"/>
      <w:sz w:val="32"/>
      <w:szCs w:val="32"/>
    </w:rPr>
  </w:style>
  <w:style w:type="paragraph" w:styleId="3">
    <w:name w:val="Body Text Indent"/>
    <w:basedOn w:val="1"/>
    <w:next w:val="2"/>
    <w:qFormat/>
    <w:uiPriority w:val="99"/>
    <w:pPr>
      <w:spacing w:after="120"/>
      <w:ind w:left="420" w:leftChars="200"/>
    </w:pPr>
  </w:style>
  <w:style w:type="paragraph" w:styleId="4">
    <w:name w:val="annotation text"/>
    <w:basedOn w:val="1"/>
    <w:qFormat/>
    <w:uiPriority w:val="0"/>
    <w:pPr>
      <w:jc w:val="left"/>
    </w:pPr>
  </w:style>
  <w:style w:type="paragraph" w:styleId="5">
    <w:name w:val="Body Text"/>
    <w:basedOn w:val="1"/>
    <w:qFormat/>
    <w:uiPriority w:val="1"/>
    <w:rPr>
      <w:rFonts w:ascii="仿宋_GB2312" w:hAnsi="仿宋_GB2312" w:eastAsia="仿宋_GB2312" w:cs="仿宋_GB2312"/>
      <w:sz w:val="32"/>
      <w:szCs w:val="32"/>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Hyperlink"/>
    <w:basedOn w:val="10"/>
    <w:qFormat/>
    <w:uiPriority w:val="0"/>
    <w:rPr>
      <w:color w:val="0000FF"/>
      <w:u w:val="single"/>
    </w:rPr>
  </w:style>
  <w:style w:type="character" w:customStyle="1" w:styleId="12">
    <w:name w:val="页眉 字符"/>
    <w:basedOn w:val="10"/>
    <w:link w:val="7"/>
    <w:qFormat/>
    <w:uiPriority w:val="0"/>
    <w:rPr>
      <w:kern w:val="2"/>
      <w:sz w:val="18"/>
      <w:szCs w:val="18"/>
    </w:rPr>
  </w:style>
  <w:style w:type="character" w:customStyle="1" w:styleId="13">
    <w:name w:val="页脚 字符"/>
    <w:basedOn w:val="10"/>
    <w:link w:val="6"/>
    <w:qFormat/>
    <w:uiPriority w:val="0"/>
    <w:rPr>
      <w:kern w:val="2"/>
      <w:sz w:val="18"/>
      <w:szCs w:val="18"/>
    </w:rPr>
  </w:style>
  <w:style w:type="paragraph" w:customStyle="1" w:styleId="14">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228</Words>
  <Characters>1306</Characters>
  <Lines>10</Lines>
  <Paragraphs>3</Paragraphs>
  <TotalTime>28</TotalTime>
  <ScaleCrop>false</ScaleCrop>
  <LinksUpToDate>false</LinksUpToDate>
  <CharactersWithSpaces>1531</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2025-01-28T03:44:00Z</dcterms:created>
  <dc:creator>zkk</dc:creator>
  <cp:lastModifiedBy>BDA</cp:lastModifiedBy>
  <cp:lastPrinted>2024-04-21T00:21:00Z</cp:lastPrinted>
  <dcterms:modified xsi:type="dcterms:W3CDTF">2025-04-18T09:58:50Z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D0C6CB4D3DD449CF9F01DB31742842FE</vt:lpwstr>
  </property>
</Properties>
</file>