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EB0E3">
      <w:pPr>
        <w:keepNext w:val="0"/>
        <w:keepLines w:val="0"/>
        <w:pageBreakBefore w:val="0"/>
        <w:widowControl w:val="0"/>
        <w:kinsoku/>
        <w:wordWrap/>
        <w:overflowPunct/>
        <w:topLinePunct w:val="0"/>
        <w:autoSpaceDE/>
        <w:autoSpaceDN/>
        <w:bidi w:val="0"/>
        <w:adjustRightInd/>
        <w:snapToGrid/>
        <w:spacing w:line="540" w:lineRule="exact"/>
        <w:ind w:firstLine="320" w:firstLineChars="100"/>
        <w:textAlignment w:val="auto"/>
        <w:rPr>
          <w:rFonts w:hint="eastAsia" w:ascii="Times New Roman" w:hAnsi="Times New Roman" w:eastAsia="黑体"/>
          <w:sz w:val="32"/>
          <w:highlight w:val="none"/>
        </w:rPr>
      </w:pPr>
      <w:bookmarkStart w:id="0" w:name="_GoBack"/>
      <w:bookmarkEnd w:id="0"/>
      <w:r>
        <w:rPr>
          <w:rFonts w:hint="eastAsia" w:ascii="Times New Roman" w:hAnsi="Times New Roman" w:eastAsia="黑体"/>
          <w:sz w:val="32"/>
          <w:highlight w:val="none"/>
        </w:rPr>
        <w:t>附件</w:t>
      </w:r>
    </w:p>
    <w:p w14:paraId="40ED506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方正小标宋简体"/>
          <w:sz w:val="44"/>
          <w:szCs w:val="44"/>
          <w:highlight w:val="none"/>
        </w:rPr>
      </w:pPr>
    </w:p>
    <w:p w14:paraId="36459DB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简体"/>
          <w:sz w:val="44"/>
          <w:szCs w:val="44"/>
          <w:highlight w:val="none"/>
        </w:rPr>
      </w:pPr>
      <w:r>
        <w:rPr>
          <w:rFonts w:ascii="Times New Roman" w:hAnsi="Times New Roman" w:eastAsia="方正小标宋简体"/>
          <w:sz w:val="44"/>
          <w:szCs w:val="44"/>
          <w:highlight w:val="none"/>
        </w:rPr>
        <w:t>202</w:t>
      </w:r>
      <w:r>
        <w:rPr>
          <w:rFonts w:hint="eastAsia" w:ascii="Times New Roman" w:hAnsi="Times New Roman" w:eastAsia="方正小标宋简体"/>
          <w:sz w:val="44"/>
          <w:szCs w:val="44"/>
          <w:highlight w:val="none"/>
          <w:lang w:val="en-US" w:eastAsia="zh-CN"/>
        </w:rPr>
        <w:t>5</w:t>
      </w:r>
      <w:r>
        <w:rPr>
          <w:rFonts w:ascii="Times New Roman" w:hAnsi="Times New Roman" w:eastAsia="方正小标宋简体"/>
          <w:sz w:val="44"/>
          <w:szCs w:val="44"/>
          <w:highlight w:val="none"/>
        </w:rPr>
        <w:t>年北京市知识产权资助金申报指南</w:t>
      </w:r>
    </w:p>
    <w:p w14:paraId="6F6BA50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kern w:val="0"/>
          <w:sz w:val="32"/>
          <w:szCs w:val="32"/>
          <w:highlight w:val="none"/>
        </w:rPr>
      </w:pPr>
    </w:p>
    <w:p w14:paraId="165EC6F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根据</w:t>
      </w:r>
      <w:r>
        <w:rPr>
          <w:rFonts w:ascii="Times New Roman" w:hAnsi="Times New Roman" w:eastAsia="仿宋_GB2312"/>
          <w:sz w:val="32"/>
          <w:szCs w:val="32"/>
          <w:highlight w:val="none"/>
        </w:rPr>
        <w:t>《国家知识产权局关于进一步严格规范专利申请行为的通知》（国知发保字〔2021〕1号）</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《国家知识产权局关于持续严格规范专利申请行为的通知》（国知发保字〔2022〕7号）</w:t>
      </w:r>
      <w:r>
        <w:rPr>
          <w:rFonts w:hint="eastAsia" w:ascii="Times New Roman" w:hAnsi="Times New Roman" w:eastAsia="仿宋_GB2312"/>
          <w:sz w:val="32"/>
          <w:szCs w:val="32"/>
          <w:highlight w:val="none"/>
        </w:rPr>
        <w:t>以及</w:t>
      </w:r>
      <w:r>
        <w:rPr>
          <w:rFonts w:ascii="Times New Roman" w:hAnsi="Times New Roman" w:eastAsia="仿宋_GB2312"/>
          <w:sz w:val="32"/>
          <w:highlight w:val="none"/>
        </w:rPr>
        <w:t>《北京市知识产权资助金管理办法》（京知局〔2021〕78号）</w:t>
      </w:r>
      <w:r>
        <w:rPr>
          <w:rFonts w:hint="eastAsia" w:ascii="Times New Roman" w:hAnsi="Times New Roman" w:eastAsia="仿宋_GB2312"/>
          <w:sz w:val="32"/>
          <w:highlight w:val="none"/>
        </w:rPr>
        <w:t>，</w:t>
      </w:r>
      <w:r>
        <w:rPr>
          <w:rFonts w:ascii="Times New Roman" w:hAnsi="Times New Roman" w:eastAsia="仿宋_GB2312"/>
          <w:sz w:val="32"/>
          <w:highlight w:val="none"/>
        </w:rPr>
        <w:t>为规范资助金申报程序，做好202</w:t>
      </w:r>
      <w:r>
        <w:rPr>
          <w:rFonts w:hint="eastAsia" w:ascii="Times New Roman" w:hAnsi="Times New Roman" w:eastAsia="仿宋_GB2312"/>
          <w:sz w:val="32"/>
          <w:highlight w:val="none"/>
          <w:lang w:val="en-US" w:eastAsia="zh-CN"/>
        </w:rPr>
        <w:t>5</w:t>
      </w:r>
      <w:r>
        <w:rPr>
          <w:rFonts w:ascii="Times New Roman" w:hAnsi="Times New Roman" w:eastAsia="仿宋_GB2312"/>
          <w:sz w:val="32"/>
          <w:highlight w:val="none"/>
        </w:rPr>
        <w:t>年北京市知识产权资助金（以下简称</w:t>
      </w:r>
      <w:r>
        <w:rPr>
          <w:rFonts w:hint="eastAsia" w:ascii="仿宋_GB2312" w:hAnsi="仿宋_GB2312" w:eastAsia="仿宋_GB2312" w:cs="仿宋_GB2312"/>
          <w:sz w:val="32"/>
          <w:highlight w:val="none"/>
        </w:rPr>
        <w:t>“资助金”</w:t>
      </w:r>
      <w:r>
        <w:rPr>
          <w:rFonts w:ascii="Times New Roman" w:hAnsi="Times New Roman" w:eastAsia="仿宋_GB2312"/>
          <w:sz w:val="32"/>
          <w:highlight w:val="none"/>
        </w:rPr>
        <w:t>）申报工作，特制定本指南。</w:t>
      </w:r>
    </w:p>
    <w:p w14:paraId="4D2ABE9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hint="eastAsia" w:ascii="Times New Roman" w:hAnsi="Times New Roman" w:eastAsia="黑体" w:cs="Times New Roman"/>
          <w:kern w:val="2"/>
          <w:sz w:val="32"/>
          <w:szCs w:val="22"/>
          <w:highlight w:val="none"/>
          <w:lang w:val="en-US" w:eastAsia="zh-CN" w:bidi="ar-SA"/>
        </w:rPr>
        <w:t>一、</w:t>
      </w:r>
      <w:r>
        <w:rPr>
          <w:rFonts w:ascii="Times New Roman" w:hAnsi="Times New Roman" w:eastAsia="黑体"/>
          <w:sz w:val="32"/>
          <w:highlight w:val="none"/>
        </w:rPr>
        <w:t>资助金申请人</w:t>
      </w:r>
    </w:p>
    <w:p w14:paraId="1381854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1.资助金</w:t>
      </w:r>
      <w:r>
        <w:rPr>
          <w:rFonts w:ascii="Times New Roman" w:hAnsi="Times New Roman" w:eastAsia="仿宋_GB2312"/>
          <w:sz w:val="32"/>
          <w:highlight w:val="none"/>
        </w:rPr>
        <w:t>申请人（以下简称</w:t>
      </w:r>
      <w:r>
        <w:rPr>
          <w:rFonts w:hint="eastAsia" w:ascii="Times New Roman" w:hAnsi="Times New Roman" w:eastAsia="仿宋_GB2312"/>
          <w:sz w:val="32"/>
          <w:highlight w:val="none"/>
        </w:rPr>
        <w:t>“</w:t>
      </w:r>
      <w:r>
        <w:rPr>
          <w:rFonts w:ascii="Times New Roman" w:hAnsi="Times New Roman" w:eastAsia="仿宋_GB2312"/>
          <w:sz w:val="32"/>
          <w:highlight w:val="none"/>
        </w:rPr>
        <w:t>申请人</w:t>
      </w:r>
      <w:r>
        <w:rPr>
          <w:rFonts w:hint="eastAsia" w:ascii="Times New Roman" w:hAnsi="Times New Roman" w:eastAsia="仿宋_GB2312"/>
          <w:sz w:val="32"/>
          <w:highlight w:val="none"/>
        </w:rPr>
        <w:t>”</w:t>
      </w:r>
      <w:r>
        <w:rPr>
          <w:rFonts w:ascii="Times New Roman" w:hAnsi="Times New Roman" w:eastAsia="仿宋_GB2312"/>
          <w:sz w:val="32"/>
          <w:highlight w:val="none"/>
        </w:rPr>
        <w:t>）</w:t>
      </w:r>
      <w:r>
        <w:rPr>
          <w:rFonts w:hint="eastAsia" w:ascii="Times New Roman" w:hAnsi="Times New Roman" w:eastAsia="仿宋_GB2312"/>
          <w:sz w:val="32"/>
          <w:highlight w:val="none"/>
        </w:rPr>
        <w:t>应为</w:t>
      </w:r>
      <w:r>
        <w:rPr>
          <w:rFonts w:ascii="Times New Roman" w:hAnsi="Times New Roman" w:eastAsia="仿宋_GB2312"/>
          <w:sz w:val="32"/>
          <w:highlight w:val="none"/>
        </w:rPr>
        <w:t>注册或登记地在本市的单位，包括各类企业、社会团体、事业单位、行政机关、中国人民解放军和武装警察部队等，且单位信用状态良好，未被纳入失信被执行人名单。</w:t>
      </w:r>
    </w:p>
    <w:p w14:paraId="66ECD7A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2.</w:t>
      </w:r>
      <w:r>
        <w:rPr>
          <w:rFonts w:ascii="Times New Roman" w:hAnsi="Times New Roman" w:eastAsia="仿宋_GB2312"/>
          <w:sz w:val="32"/>
          <w:highlight w:val="none"/>
        </w:rPr>
        <w:t>专利资助金申请人应以专利申请时的第一申请人作为资助金申请人；专利权人发生过变更的，应以变更后的第一专利权人作为资助金申请人。</w:t>
      </w:r>
    </w:p>
    <w:p w14:paraId="099FE55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3.</w:t>
      </w:r>
      <w:r>
        <w:rPr>
          <w:rFonts w:ascii="Times New Roman" w:hAnsi="Times New Roman" w:eastAsia="仿宋_GB2312"/>
          <w:sz w:val="32"/>
          <w:highlight w:val="none"/>
        </w:rPr>
        <w:t>商标资助金申请人应为受资助商标的专用权人；如果受资助商标为共有商标，应以共有商标代表人作为资助金申请人。</w:t>
      </w:r>
    </w:p>
    <w:p w14:paraId="33C8E4FD">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highlight w:val="none"/>
        </w:rPr>
      </w:pPr>
      <w:r>
        <w:rPr>
          <w:rFonts w:hint="eastAsia" w:ascii="仿宋_GB2312" w:hAnsi="仿宋_GB2312" w:cs="仿宋_GB2312"/>
          <w:highlight w:val="none"/>
        </w:rPr>
        <w:t>4</w:t>
      </w:r>
      <w:r>
        <w:rPr>
          <w:rFonts w:hint="eastAsia"/>
          <w:highlight w:val="none"/>
        </w:rPr>
        <w:t>.知识产权使用费出口资助金申请人的知识产权使用费出口金额应在中国人民银行北京营业管理部的年度进出口统计范围之内。</w:t>
      </w:r>
    </w:p>
    <w:p w14:paraId="2D30324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hint="eastAsia" w:ascii="Times New Roman" w:hAnsi="Times New Roman" w:eastAsia="黑体"/>
          <w:sz w:val="32"/>
          <w:highlight w:val="none"/>
        </w:rPr>
        <w:t>二、</w:t>
      </w:r>
      <w:r>
        <w:rPr>
          <w:rFonts w:ascii="Times New Roman" w:hAnsi="Times New Roman" w:eastAsia="黑体"/>
          <w:sz w:val="32"/>
          <w:highlight w:val="none"/>
        </w:rPr>
        <w:t>优先资助范围</w:t>
      </w:r>
    </w:p>
    <w:p w14:paraId="62E42C3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仿宋_GB2312" w:eastAsia="仿宋_GB2312"/>
          <w:sz w:val="32"/>
          <w:szCs w:val="32"/>
          <w:highlight w:val="none"/>
        </w:rPr>
        <w:t>符合以下条件之一的</w:t>
      </w:r>
      <w:r>
        <w:rPr>
          <w:rFonts w:hint="eastAsia" w:ascii="Times New Roman" w:hAnsi="Times New Roman" w:eastAsia="仿宋_GB2312"/>
          <w:sz w:val="32"/>
          <w:highlight w:val="none"/>
        </w:rPr>
        <w:t>申请人可以优先资助：</w:t>
      </w:r>
    </w:p>
    <w:p w14:paraId="541DFD9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1.国家知识产权示范企业、优势企业，北京市知识产权示范单位、试点单位；</w:t>
      </w:r>
    </w:p>
    <w:p w14:paraId="1CBB621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2.北京市经济和信息化局确定</w:t>
      </w:r>
      <w:r>
        <w:rPr>
          <w:rFonts w:ascii="Times New Roman" w:hAnsi="Times New Roman" w:eastAsia="仿宋_GB2312"/>
          <w:sz w:val="32"/>
          <w:highlight w:val="none"/>
        </w:rPr>
        <w:t>的</w:t>
      </w:r>
      <w:r>
        <w:rPr>
          <w:rFonts w:hint="eastAsia" w:ascii="Times New Roman" w:hAnsi="Times New Roman" w:eastAsia="仿宋_GB2312"/>
          <w:sz w:val="32"/>
          <w:highlight w:val="none"/>
        </w:rPr>
        <w:t>专精特新中小企业，国家市场监督管理总局认定的</w:t>
      </w:r>
      <w:r>
        <w:rPr>
          <w:rFonts w:ascii="Times New Roman" w:hAnsi="Times New Roman" w:eastAsia="仿宋_GB2312"/>
          <w:sz w:val="32"/>
          <w:highlight w:val="none"/>
        </w:rPr>
        <w:t>小型、微型企业</w:t>
      </w:r>
      <w:r>
        <w:rPr>
          <w:rFonts w:hint="eastAsia" w:ascii="Times New Roman" w:hAnsi="Times New Roman" w:eastAsia="仿宋_GB2312"/>
          <w:sz w:val="32"/>
          <w:highlight w:val="none"/>
        </w:rPr>
        <w:t>。</w:t>
      </w:r>
    </w:p>
    <w:p w14:paraId="54F63B1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hint="eastAsia" w:ascii="Times New Roman" w:hAnsi="Times New Roman" w:eastAsia="黑体"/>
          <w:sz w:val="32"/>
          <w:highlight w:val="none"/>
        </w:rPr>
        <w:t>三、申报方式</w:t>
      </w:r>
    </w:p>
    <w:p w14:paraId="20A97A7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1.资助金采取申报周期</w:t>
      </w:r>
      <w:r>
        <w:rPr>
          <w:rFonts w:hint="eastAsia" w:ascii="Times New Roman" w:hAnsi="Times New Roman" w:eastAsia="仿宋_GB2312"/>
          <w:sz w:val="32"/>
          <w:highlight w:val="none"/>
        </w:rPr>
        <w:t>内</w:t>
      </w:r>
      <w:r>
        <w:rPr>
          <w:rFonts w:ascii="Times New Roman" w:hAnsi="Times New Roman" w:eastAsia="仿宋_GB2312"/>
          <w:sz w:val="32"/>
          <w:highlight w:val="none"/>
        </w:rPr>
        <w:t>集中申报</w:t>
      </w:r>
      <w:r>
        <w:rPr>
          <w:rFonts w:hint="eastAsia" w:ascii="Times New Roman" w:hAnsi="Times New Roman" w:eastAsia="仿宋_GB2312"/>
          <w:sz w:val="32"/>
          <w:highlight w:val="none"/>
        </w:rPr>
        <w:t>的</w:t>
      </w:r>
      <w:r>
        <w:rPr>
          <w:rFonts w:ascii="Times New Roman" w:hAnsi="Times New Roman" w:eastAsia="仿宋_GB2312"/>
          <w:sz w:val="32"/>
          <w:highlight w:val="none"/>
        </w:rPr>
        <w:t>方式实施，自发布申报通知起至对应资助金发放完毕为一个申报周期</w:t>
      </w:r>
      <w:r>
        <w:rPr>
          <w:rFonts w:hint="eastAsia" w:ascii="Times New Roman" w:hAnsi="Times New Roman" w:eastAsia="仿宋_GB2312"/>
          <w:sz w:val="32"/>
          <w:highlight w:val="none"/>
        </w:rPr>
        <w:t>。</w:t>
      </w:r>
      <w:r>
        <w:rPr>
          <w:rFonts w:ascii="Times New Roman" w:hAnsi="Times New Roman" w:eastAsia="仿宋_GB2312"/>
          <w:sz w:val="32"/>
          <w:highlight w:val="none"/>
        </w:rPr>
        <w:t>申请人应按照北京市知识产权局关于申报北京市知识产权资助金的有关通知要求及时申报，逾期不予受理。</w:t>
      </w:r>
    </w:p>
    <w:p w14:paraId="338C2DC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申报通知发布途径为：北京市知识产权局政务网</w:t>
      </w:r>
      <w:r>
        <w:rPr>
          <w:rFonts w:hint="eastAsia" w:ascii="仿宋_GB2312" w:hAnsi="仿宋_GB2312" w:eastAsia="仿宋_GB2312" w:cs="仿宋_GB2312"/>
          <w:sz w:val="32"/>
          <w:highlight w:val="none"/>
        </w:rPr>
        <w:t>站“通知公告”</w:t>
      </w:r>
      <w:r>
        <w:rPr>
          <w:rFonts w:ascii="Times New Roman" w:hAnsi="Times New Roman" w:eastAsia="仿宋_GB2312"/>
          <w:sz w:val="32"/>
          <w:highlight w:val="none"/>
        </w:rPr>
        <w:t>栏目（网址：http://zscqj.beijing.gov.cn/）。</w:t>
      </w:r>
    </w:p>
    <w:p w14:paraId="0CF6F08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2.</w:t>
      </w:r>
      <w:r>
        <w:rPr>
          <w:rFonts w:ascii="Times New Roman" w:hAnsi="Times New Roman" w:eastAsia="仿宋_GB2312"/>
          <w:sz w:val="32"/>
          <w:highlight w:val="none"/>
        </w:rPr>
        <w:t>资助金</w:t>
      </w:r>
      <w:r>
        <w:rPr>
          <w:rFonts w:hint="eastAsia" w:ascii="Times New Roman" w:hAnsi="Times New Roman" w:eastAsia="仿宋_GB2312"/>
          <w:sz w:val="32"/>
          <w:highlight w:val="none"/>
        </w:rPr>
        <w:t>的办理</w:t>
      </w:r>
      <w:r>
        <w:rPr>
          <w:rFonts w:ascii="Times New Roman" w:hAnsi="Times New Roman" w:eastAsia="仿宋_GB2312"/>
          <w:sz w:val="32"/>
          <w:highlight w:val="none"/>
        </w:rPr>
        <w:t>采取网上申报、网上审核、网上发放的全程网办方式，办理网址为：</w:t>
      </w:r>
      <w:r>
        <w:rPr>
          <w:rFonts w:hint="eastAsia" w:ascii="Times New Roman" w:hAnsi="Times New Roman" w:eastAsia="仿宋_GB2312"/>
          <w:sz w:val="32"/>
          <w:highlight w:val="none"/>
        </w:rPr>
        <w:t>http://zizhu.zscqj.beijing.gov.cn</w:t>
      </w:r>
      <w:r>
        <w:rPr>
          <w:highlight w:val="none"/>
        </w:rPr>
        <w:fldChar w:fldCharType="begin"/>
      </w:r>
      <w:r>
        <w:rPr>
          <w:highlight w:val="none"/>
        </w:rPr>
        <w:instrText xml:space="preserve"> HYPERLINK "http://zizhu.bjipo.gov.cn/。" </w:instrText>
      </w:r>
      <w:r>
        <w:rPr>
          <w:highlight w:val="none"/>
        </w:rPr>
        <w:fldChar w:fldCharType="separate"/>
      </w:r>
      <w:r>
        <w:rPr>
          <w:rFonts w:ascii="Times New Roman" w:hAnsi="Times New Roman" w:eastAsia="仿宋_GB2312"/>
          <w:sz w:val="32"/>
          <w:highlight w:val="none"/>
        </w:rPr>
        <w:t>/</w:t>
      </w:r>
      <w:r>
        <w:rPr>
          <w:rFonts w:ascii="Times New Roman" w:hAnsi="Times New Roman" w:eastAsia="仿宋_GB2312"/>
          <w:sz w:val="32"/>
          <w:highlight w:val="none"/>
        </w:rPr>
        <w:fldChar w:fldCharType="end"/>
      </w:r>
      <w:r>
        <w:rPr>
          <w:rFonts w:hint="eastAsia" w:ascii="Times New Roman" w:hAnsi="Times New Roman" w:eastAsia="仿宋_GB2312"/>
          <w:sz w:val="32"/>
          <w:highlight w:val="none"/>
        </w:rPr>
        <w:t>，办理流程如下图所示：</w:t>
      </w:r>
    </w:p>
    <w:p w14:paraId="7BC2B549">
      <w:pPr>
        <w:jc w:val="center"/>
        <w:rPr>
          <w:rFonts w:ascii="黑体" w:hAnsi="黑体" w:eastAsia="黑体" w:cs="黑体"/>
          <w:highlight w:val="none"/>
        </w:rPr>
      </w:pPr>
      <w:r>
        <w:rPr>
          <w:highlight w:val="none"/>
        </w:rPr>
        <mc:AlternateContent>
          <mc:Choice Requires="wpg">
            <w:drawing>
              <wp:inline distT="0" distB="0" distL="114300" distR="114300">
                <wp:extent cx="2204085" cy="5194300"/>
                <wp:effectExtent l="12700" t="12700" r="0" b="31750"/>
                <wp:docPr id="6" name="组合 1026"/>
                <wp:cNvGraphicFramePr/>
                <a:graphic xmlns:a="http://schemas.openxmlformats.org/drawingml/2006/main">
                  <a:graphicData uri="http://schemas.microsoft.com/office/word/2010/wordprocessingGroup">
                    <wpg:wgp>
                      <wpg:cNvGrpSpPr>
                        <a:grpSpLocks noRot="1"/>
                      </wpg:cNvGrpSpPr>
                      <wpg:grpSpPr>
                        <a:xfrm>
                          <a:off x="0" y="0"/>
                          <a:ext cx="2204085" cy="5194300"/>
                          <a:chOff x="9189" y="3286"/>
                          <a:chExt cx="3471" cy="8180"/>
                        </a:xfrm>
                        <a:effectLst/>
                      </wpg:grpSpPr>
                      <wpg:grpSp>
                        <wpg:cNvPr id="9" name="组合 11"/>
                        <wpg:cNvGrpSpPr/>
                        <wpg:grpSpPr>
                          <a:xfrm>
                            <a:off x="10465" y="3768"/>
                            <a:ext cx="53" cy="7232"/>
                            <a:chOff x="10465" y="3768"/>
                            <a:chExt cx="53" cy="7232"/>
                          </a:xfrm>
                          <a:effectLst/>
                        </wpg:grpSpPr>
                        <wps:wsp>
                          <wps:cNvPr id="10" name="直接箭头连接符 22"/>
                          <wps:cNvCnPr/>
                          <wps:spPr>
                            <a:xfrm>
                              <a:off x="10506" y="4609"/>
                              <a:ext cx="4" cy="361"/>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2" name="直接箭头连接符 26"/>
                          <wps:cNvCnPr/>
                          <wps:spPr>
                            <a:xfrm>
                              <a:off x="10465" y="10640"/>
                              <a:ext cx="4" cy="361"/>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3" name="直接箭头连接符 23"/>
                          <wps:cNvCnPr/>
                          <wps:spPr>
                            <a:xfrm>
                              <a:off x="10514" y="6643"/>
                              <a:ext cx="5" cy="387"/>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4" name="直接箭头连接符 32"/>
                          <wps:cNvCnPr/>
                          <wps:spPr>
                            <a:xfrm>
                              <a:off x="10500" y="7475"/>
                              <a:ext cx="4" cy="361"/>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5" name="直接箭头连接符 31"/>
                          <wps:cNvCnPr/>
                          <wps:spPr>
                            <a:xfrm>
                              <a:off x="10487" y="9795"/>
                              <a:ext cx="4" cy="361"/>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6" name="直接箭头连接符 3"/>
                          <wps:cNvCnPr/>
                          <wps:spPr>
                            <a:xfrm>
                              <a:off x="10500" y="3768"/>
                              <a:ext cx="4" cy="361"/>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7" name="直接箭头连接符 2"/>
                          <wps:cNvCnPr>
                            <a:stCxn id="8" idx="2"/>
                            <a:endCxn id="1" idx="0"/>
                          </wps:cNvCnPr>
                          <wps:spPr>
                            <a:xfrm>
                              <a:off x="10492" y="5442"/>
                              <a:ext cx="10" cy="374"/>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19" name="直接箭头连接符 9"/>
                          <wps:cNvCnPr/>
                          <wps:spPr>
                            <a:xfrm>
                              <a:off x="10494" y="8586"/>
                              <a:ext cx="7" cy="359"/>
                            </a:xfrm>
                            <a:prstGeom prst="straightConnector1">
                              <a:avLst/>
                            </a:prstGeom>
                            <a:solidFill>
                              <a:srgbClr val="FFFFFF"/>
                            </a:solidFill>
                            <a:ln w="25400" cap="flat" cmpd="sng" algn="ctr">
                              <a:solidFill>
                                <a:srgbClr val="000000"/>
                              </a:solidFill>
                              <a:prstDash val="solid"/>
                              <a:tailEnd type="arrow" w="med" len="med"/>
                            </a:ln>
                            <a:effectLst/>
                          </wps:spPr>
                          <wps:bodyPr/>
                        </wps:wsp>
                      </wpg:grpSp>
                      <wpg:grpSp>
                        <wpg:cNvPr id="20" name="组合 25"/>
                        <wpg:cNvGrpSpPr/>
                        <wpg:grpSpPr>
                          <a:xfrm>
                            <a:off x="9189" y="3286"/>
                            <a:ext cx="2600" cy="8180"/>
                            <a:chOff x="9189" y="3286"/>
                            <a:chExt cx="2600" cy="8180"/>
                          </a:xfrm>
                          <a:effectLst/>
                        </wpg:grpSpPr>
                        <wps:wsp>
                          <wps:cNvPr id="21" name="流程图: 过程 7"/>
                          <wps:cNvSpPr/>
                          <wps:spPr>
                            <a:xfrm>
                              <a:off x="9219" y="4133"/>
                              <a:ext cx="2563" cy="475"/>
                            </a:xfrm>
                            <a:prstGeom prst="flowChartProcess">
                              <a:avLst/>
                            </a:prstGeom>
                            <a:solidFill>
                              <a:srgbClr val="FFFFFF"/>
                            </a:solidFill>
                            <a:ln w="25400" cap="flat" cmpd="sng" algn="ctr">
                              <a:solidFill>
                                <a:srgbClr val="000000"/>
                              </a:solidFill>
                              <a:prstDash val="solid"/>
                            </a:ln>
                            <a:effectLst/>
                          </wps:spPr>
                          <wps:txbx>
                            <w:txbxContent>
                              <w:p w14:paraId="1C80FE9D">
                                <w:pPr>
                                  <w:jc w:val="center"/>
                                  <w:rPr>
                                    <w:sz w:val="24"/>
                                  </w:rPr>
                                </w:pPr>
                                <w:r>
                                  <w:rPr>
                                    <w:rFonts w:hint="eastAsia"/>
                                    <w:sz w:val="24"/>
                                  </w:rPr>
                                  <w:t>完善注册信息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流程图: 过程 18"/>
                          <wps:cNvSpPr/>
                          <wps:spPr>
                            <a:xfrm>
                              <a:off x="9189" y="10992"/>
                              <a:ext cx="2563" cy="475"/>
                            </a:xfrm>
                            <a:prstGeom prst="flowChartProcess">
                              <a:avLst/>
                            </a:prstGeom>
                            <a:solidFill>
                              <a:srgbClr val="FFFFFF"/>
                            </a:solidFill>
                            <a:ln w="25400" cap="flat" cmpd="sng" algn="ctr">
                              <a:solidFill>
                                <a:srgbClr val="000000"/>
                              </a:solidFill>
                              <a:prstDash val="solid"/>
                            </a:ln>
                            <a:effectLst/>
                          </wps:spPr>
                          <wps:txbx>
                            <w:txbxContent>
                              <w:p w14:paraId="2313ADF6">
                                <w:pPr>
                                  <w:jc w:val="center"/>
                                  <w:rPr>
                                    <w:sz w:val="24"/>
                                  </w:rPr>
                                </w:pPr>
                                <w:r>
                                  <w:rPr>
                                    <w:rFonts w:hint="eastAsia"/>
                                    <w:sz w:val="24"/>
                                  </w:rPr>
                                  <w:t>发放资助金</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流程图: 过程 8"/>
                          <wps:cNvSpPr/>
                          <wps:spPr>
                            <a:xfrm>
                              <a:off x="9210" y="4967"/>
                              <a:ext cx="2563" cy="475"/>
                            </a:xfrm>
                            <a:prstGeom prst="flowChartProcess">
                              <a:avLst/>
                            </a:prstGeom>
                            <a:solidFill>
                              <a:srgbClr val="FFFFFF"/>
                            </a:solidFill>
                            <a:ln w="25400" cap="flat" cmpd="sng" algn="ctr">
                              <a:solidFill>
                                <a:srgbClr val="000000"/>
                              </a:solidFill>
                              <a:prstDash val="solid"/>
                            </a:ln>
                            <a:effectLst/>
                          </wps:spPr>
                          <wps:txbx>
                            <w:txbxContent>
                              <w:p w14:paraId="1A61428A">
                                <w:pPr>
                                  <w:jc w:val="center"/>
                                  <w:rPr>
                                    <w:sz w:val="24"/>
                                  </w:rPr>
                                </w:pPr>
                                <w:r>
                                  <w:rPr>
                                    <w:rFonts w:hint="eastAsia"/>
                                    <w:sz w:val="24"/>
                                  </w:rPr>
                                  <w:t>网上申报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流程图: 过程 30"/>
                          <wps:cNvSpPr/>
                          <wps:spPr>
                            <a:xfrm>
                              <a:off x="9216" y="7006"/>
                              <a:ext cx="2562" cy="474"/>
                            </a:xfrm>
                            <a:prstGeom prst="flowChartProcess">
                              <a:avLst/>
                            </a:prstGeom>
                            <a:solidFill>
                              <a:srgbClr val="FFFFFF"/>
                            </a:solidFill>
                            <a:ln w="25400" cap="flat" cmpd="sng" algn="ctr">
                              <a:solidFill>
                                <a:srgbClr val="000000"/>
                              </a:solidFill>
                              <a:prstDash val="solid"/>
                            </a:ln>
                            <a:effectLst/>
                          </wps:spPr>
                          <wps:txbx>
                            <w:txbxContent>
                              <w:p w14:paraId="32CE3860">
                                <w:pPr>
                                  <w:jc w:val="center"/>
                                  <w:rPr>
                                    <w:sz w:val="24"/>
                                  </w:rPr>
                                </w:pPr>
                                <w:r>
                                  <w:rPr>
                                    <w:rFonts w:hint="eastAsia"/>
                                    <w:sz w:val="24"/>
                                  </w:rPr>
                                  <w:t>初核结果确认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流程图: 过程 34"/>
                          <wps:cNvSpPr/>
                          <wps:spPr>
                            <a:xfrm>
                              <a:off x="9203" y="7821"/>
                              <a:ext cx="2563" cy="765"/>
                            </a:xfrm>
                            <a:prstGeom prst="flowChartProcess">
                              <a:avLst/>
                            </a:prstGeom>
                            <a:solidFill>
                              <a:srgbClr val="FFFFFF"/>
                            </a:solidFill>
                            <a:ln w="25400" cap="flat" cmpd="sng" algn="ctr">
                              <a:solidFill>
                                <a:srgbClr val="000000"/>
                              </a:solidFill>
                              <a:prstDash val="solid"/>
                            </a:ln>
                            <a:effectLst/>
                          </wps:spPr>
                          <wps:txbx>
                            <w:txbxContent>
                              <w:p w14:paraId="19F342B2">
                                <w:pPr>
                                  <w:jc w:val="center"/>
                                  <w:rPr>
                                    <w:sz w:val="24"/>
                                  </w:rPr>
                                </w:pPr>
                                <w:r>
                                  <w:rPr>
                                    <w:rFonts w:hint="eastAsia"/>
                                    <w:sz w:val="24"/>
                                  </w:rPr>
                                  <w:t>资助金申报表打印、盖章、扫描、上传</w:t>
                                </w:r>
                              </w:p>
                              <w:p w14:paraId="6BFF22AE">
                                <w:pPr>
                                  <w:rPr>
                                    <w:sz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 name="流程图: 过程 33"/>
                          <wps:cNvSpPr/>
                          <wps:spPr>
                            <a:xfrm>
                              <a:off x="9210" y="10153"/>
                              <a:ext cx="2563" cy="475"/>
                            </a:xfrm>
                            <a:prstGeom prst="flowChartProcess">
                              <a:avLst/>
                            </a:prstGeom>
                            <a:solidFill>
                              <a:srgbClr val="FFFFFF"/>
                            </a:solidFill>
                            <a:ln w="25400" cap="flat" cmpd="sng" algn="ctr">
                              <a:solidFill>
                                <a:srgbClr val="000000"/>
                              </a:solidFill>
                              <a:prstDash val="solid"/>
                            </a:ln>
                            <a:effectLst/>
                          </wps:spPr>
                          <wps:txbx>
                            <w:txbxContent>
                              <w:p w14:paraId="00B5E8D0">
                                <w:pPr>
                                  <w:jc w:val="center"/>
                                  <w:rPr>
                                    <w:rFonts w:ascii="宋体" w:hAnsi="宋体" w:cs="宋体"/>
                                    <w:sz w:val="24"/>
                                  </w:rPr>
                                </w:pPr>
                                <w:r>
                                  <w:rPr>
                                    <w:rFonts w:hint="eastAsia" w:ascii="宋体" w:hAnsi="宋体" w:cs="宋体"/>
                                    <w:sz w:val="24"/>
                                  </w:rPr>
                                  <w:t>发放名单公示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 name="流程图: 过程 4"/>
                          <wps:cNvSpPr/>
                          <wps:spPr>
                            <a:xfrm>
                              <a:off x="9216" y="3286"/>
                              <a:ext cx="2563" cy="475"/>
                            </a:xfrm>
                            <a:prstGeom prst="flowChartProcess">
                              <a:avLst/>
                            </a:prstGeom>
                            <a:solidFill>
                              <a:srgbClr val="FFFFFF"/>
                            </a:solidFill>
                            <a:ln w="25400" cap="flat" cmpd="sng" algn="ctr">
                              <a:solidFill>
                                <a:srgbClr val="000000"/>
                              </a:solidFill>
                              <a:prstDash val="solid"/>
                            </a:ln>
                            <a:effectLst/>
                          </wps:spPr>
                          <wps:txbx>
                            <w:txbxContent>
                              <w:p w14:paraId="1BA3C76A">
                                <w:pPr>
                                  <w:jc w:val="center"/>
                                  <w:rPr>
                                    <w:sz w:val="24"/>
                                  </w:rPr>
                                </w:pPr>
                                <w:r>
                                  <w:rPr>
                                    <w:rFonts w:hint="eastAsia"/>
                                    <w:sz w:val="24"/>
                                  </w:rPr>
                                  <w:t>法人一证通登录系统</w:t>
                                </w:r>
                              </w:p>
                              <w:p w14:paraId="445F616F">
                                <w:pPr>
                                  <w:jc w:val="center"/>
                                  <w:rPr>
                                    <w:sz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28" name="组合 20"/>
                          <wpg:cNvGrpSpPr/>
                          <wpg:grpSpPr>
                            <a:xfrm>
                              <a:off x="9213" y="5816"/>
                              <a:ext cx="2576" cy="1285"/>
                              <a:chOff x="9213" y="5816"/>
                              <a:chExt cx="2576" cy="1285"/>
                            </a:xfrm>
                            <a:effectLst/>
                          </wpg:grpSpPr>
                          <wps:wsp>
                            <wps:cNvPr id="38" name="菱形 1"/>
                            <wps:cNvSpPr/>
                            <wps:spPr>
                              <a:xfrm>
                                <a:off x="9213" y="5816"/>
                                <a:ext cx="2577" cy="840"/>
                              </a:xfrm>
                              <a:prstGeom prst="diamond">
                                <a:avLst/>
                              </a:prstGeom>
                              <a:solidFill>
                                <a:srgbClr val="FFFFFF"/>
                              </a:solidFill>
                              <a:ln w="25400" cap="flat" cmpd="sng" algn="ctr">
                                <a:solidFill>
                                  <a:srgbClr val="000000"/>
                                </a:solidFill>
                                <a:prstDash val="solid"/>
                              </a:ln>
                              <a:effectLst/>
                            </wps:spPr>
                            <wps:txbx>
                              <w:txbxContent>
                                <w:p w14:paraId="13CE7E46">
                                  <w:pPr>
                                    <w:jc w:val="center"/>
                                    <w:rPr>
                                      <w:sz w:val="24"/>
                                    </w:rPr>
                                  </w:pPr>
                                  <w:r>
                                    <w:rPr>
                                      <w:rFonts w:hint="eastAsia"/>
                                      <w:sz w:val="24"/>
                                    </w:rPr>
                                    <w:t>网上初核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 name="文本框 5"/>
                            <wps:cNvSpPr txBox="1"/>
                            <wps:spPr>
                              <a:xfrm>
                                <a:off x="10552" y="6561"/>
                                <a:ext cx="960" cy="541"/>
                              </a:xfrm>
                              <a:prstGeom prst="rect">
                                <a:avLst/>
                              </a:prstGeom>
                              <a:noFill/>
                              <a:ln w="25400" cap="flat" cmpd="sng" algn="ctr">
                                <a:noFill/>
                                <a:prstDash val="solid"/>
                              </a:ln>
                              <a:effectLst/>
                            </wps:spPr>
                            <wps:txbx>
                              <w:txbxContent>
                                <w:p w14:paraId="330A2FCB">
                                  <w:pPr>
                                    <w:rPr>
                                      <w:sz w:val="18"/>
                                      <w:szCs w:val="18"/>
                                    </w:rPr>
                                  </w:pPr>
                                  <w:r>
                                    <w:rPr>
                                      <w:rFonts w:hint="eastAsia"/>
                                      <w:sz w:val="18"/>
                                      <w:szCs w:val="18"/>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9" name="组合 19"/>
                          <wpg:cNvGrpSpPr/>
                          <wpg:grpSpPr>
                            <a:xfrm>
                              <a:off x="9267" y="8948"/>
                              <a:ext cx="2446" cy="1230"/>
                              <a:chOff x="9267" y="8948"/>
                              <a:chExt cx="2446" cy="1230"/>
                            </a:xfrm>
                            <a:effectLst/>
                          </wpg:grpSpPr>
                          <wps:wsp>
                            <wps:cNvPr id="41" name="菱形 6"/>
                            <wps:cNvSpPr/>
                            <wps:spPr>
                              <a:xfrm>
                                <a:off x="9267" y="8948"/>
                                <a:ext cx="2447" cy="839"/>
                              </a:xfrm>
                              <a:prstGeom prst="diamond">
                                <a:avLst/>
                              </a:prstGeom>
                              <a:solidFill>
                                <a:srgbClr val="FFFFFF"/>
                              </a:solidFill>
                              <a:ln w="25400" cap="flat" cmpd="sng" algn="ctr">
                                <a:solidFill>
                                  <a:srgbClr val="000000"/>
                                </a:solidFill>
                                <a:prstDash val="solid"/>
                              </a:ln>
                              <a:effectLst/>
                            </wps:spPr>
                            <wps:txbx>
                              <w:txbxContent>
                                <w:p w14:paraId="43C46143">
                                  <w:pPr>
                                    <w:jc w:val="center"/>
                                    <w:rPr>
                                      <w:sz w:val="24"/>
                                    </w:rPr>
                                  </w:pPr>
                                  <w:r>
                                    <w:rPr>
                                      <w:rFonts w:hint="eastAsia"/>
                                      <w:sz w:val="24"/>
                                    </w:rPr>
                                    <w:t>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 name="文本框 10"/>
                            <wps:cNvSpPr txBox="1"/>
                            <wps:spPr>
                              <a:xfrm>
                                <a:off x="10523" y="9692"/>
                                <a:ext cx="794" cy="486"/>
                              </a:xfrm>
                              <a:prstGeom prst="rect">
                                <a:avLst/>
                              </a:prstGeom>
                              <a:noFill/>
                              <a:ln w="25400" cap="flat" cmpd="sng" algn="ctr">
                                <a:noFill/>
                                <a:prstDash val="solid"/>
                              </a:ln>
                              <a:effectLst/>
                            </wps:spPr>
                            <wps:txbx>
                              <w:txbxContent>
                                <w:p w14:paraId="5C36DEFE">
                                  <w:pPr>
                                    <w:rPr>
                                      <w:sz w:val="18"/>
                                      <w:szCs w:val="18"/>
                                    </w:rPr>
                                  </w:pPr>
                                  <w:r>
                                    <w:rPr>
                                      <w:rFonts w:hint="eastAsia"/>
                                      <w:sz w:val="18"/>
                                      <w:szCs w:val="18"/>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cNvPr id="30" name="组合 24"/>
                        <wpg:cNvGrpSpPr/>
                        <wpg:grpSpPr>
                          <a:xfrm>
                            <a:off x="11412" y="5205"/>
                            <a:ext cx="1248" cy="1174"/>
                            <a:chOff x="11412" y="5205"/>
                            <a:chExt cx="1248" cy="1174"/>
                          </a:xfrm>
                          <a:effectLst/>
                        </wpg:grpSpPr>
                        <wps:wsp>
                          <wps:cNvPr id="44" name="文本框 28"/>
                          <wps:cNvSpPr txBox="1"/>
                          <wps:spPr>
                            <a:xfrm>
                              <a:off x="11978" y="5437"/>
                              <a:ext cx="683" cy="755"/>
                            </a:xfrm>
                            <a:prstGeom prst="rect">
                              <a:avLst/>
                            </a:prstGeom>
                            <a:noFill/>
                            <a:ln w="25400" cap="flat" cmpd="sng" algn="ctr">
                              <a:noFill/>
                              <a:prstDash val="solid"/>
                            </a:ln>
                            <a:effectLst/>
                          </wps:spPr>
                          <wps:txbx>
                            <w:txbxContent>
                              <w:p w14:paraId="06B76058">
                                <w:pPr>
                                  <w:rPr>
                                    <w:sz w:val="18"/>
                                    <w:szCs w:val="18"/>
                                  </w:rPr>
                                </w:pPr>
                                <w:r>
                                  <w:rPr>
                                    <w:rFonts w:hint="eastAsia"/>
                                    <w:sz w:val="18"/>
                                    <w:szCs w:val="18"/>
                                  </w:rPr>
                                  <w:t>修改</w:t>
                                </w:r>
                              </w:p>
                            </w:txbxContent>
                          </wps:txbx>
                          <wps:bodyPr rot="0" spcFirstLastPara="0" vertOverflow="overflow" horzOverflow="overflow" vert="eaVert" wrap="square" lIns="91440" tIns="45720" rIns="91440" bIns="45720" numCol="1" spcCol="0" rtlCol="0" fromWordArt="0" anchor="t" anchorCtr="0" forceAA="0" compatLnSpc="1">
                            <a:noAutofit/>
                          </wps:bodyPr>
                        </wps:wsp>
                        <wpg:grpSp>
                          <wpg:cNvPr id="31" name="组合 21"/>
                          <wpg:cNvGrpSpPr/>
                          <wpg:grpSpPr>
                            <a:xfrm>
                              <a:off x="11412" y="5205"/>
                              <a:ext cx="922" cy="1175"/>
                              <a:chOff x="11412" y="5205"/>
                              <a:chExt cx="922" cy="1175"/>
                            </a:xfrm>
                            <a:effectLst/>
                          </wpg:grpSpPr>
                          <wps:wsp>
                            <wps:cNvPr id="46" name="肘形连接符 27"/>
                            <wps:cNvCnPr>
                              <a:stCxn id="1" idx="3"/>
                              <a:endCxn id="8" idx="3"/>
                            </wps:cNvCnPr>
                            <wps:spPr>
                              <a:xfrm flipH="1" flipV="1">
                                <a:off x="11773" y="5205"/>
                                <a:ext cx="17" cy="1031"/>
                              </a:xfrm>
                              <a:prstGeom prst="bentConnector3">
                                <a:avLst>
                                  <a:gd name="adj1" fmla="val -2205882"/>
                                </a:avLst>
                              </a:prstGeom>
                              <a:solidFill>
                                <a:srgbClr val="FFFFFF"/>
                              </a:solidFill>
                              <a:ln w="25400" cap="flat" cmpd="sng" algn="ctr">
                                <a:solidFill>
                                  <a:srgbClr val="000000"/>
                                </a:solidFill>
                                <a:prstDash val="solid"/>
                                <a:tailEnd type="arrow" w="med" len="med"/>
                              </a:ln>
                              <a:effectLst/>
                            </wps:spPr>
                            <wps:bodyPr/>
                          </wps:wsp>
                          <wps:wsp>
                            <wps:cNvPr id="47" name="文本框 15"/>
                            <wps:cNvSpPr txBox="1"/>
                            <wps:spPr>
                              <a:xfrm>
                                <a:off x="11412" y="5782"/>
                                <a:ext cx="922" cy="598"/>
                              </a:xfrm>
                              <a:prstGeom prst="rect">
                                <a:avLst/>
                              </a:prstGeom>
                              <a:noFill/>
                              <a:ln w="25400" cap="flat" cmpd="sng" algn="ctr">
                                <a:noFill/>
                                <a:prstDash val="solid"/>
                              </a:ln>
                              <a:effectLst/>
                            </wps:spPr>
                            <wps:txbx>
                              <w:txbxContent>
                                <w:p w14:paraId="0C1AE8D0">
                                  <w:pPr>
                                    <w:rPr>
                                      <w:sz w:val="18"/>
                                      <w:szCs w:val="18"/>
                                    </w:rPr>
                                  </w:pPr>
                                  <w:r>
                                    <w:rPr>
                                      <w:rFonts w:hint="eastAsia"/>
                                      <w:sz w:val="18"/>
                                      <w:szCs w:val="18"/>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cNvPr id="32" name="组合 17"/>
                        <wpg:cNvGrpSpPr/>
                        <wpg:grpSpPr>
                          <a:xfrm>
                            <a:off x="11383" y="8204"/>
                            <a:ext cx="1259" cy="1272"/>
                            <a:chOff x="11383" y="8204"/>
                            <a:chExt cx="1259" cy="1272"/>
                          </a:xfrm>
                          <a:effectLst/>
                        </wpg:grpSpPr>
                        <wps:wsp>
                          <wps:cNvPr id="49" name="文本框 14"/>
                          <wps:cNvSpPr txBox="1"/>
                          <wps:spPr>
                            <a:xfrm>
                              <a:off x="12004" y="8521"/>
                              <a:ext cx="638" cy="656"/>
                            </a:xfrm>
                            <a:prstGeom prst="rect">
                              <a:avLst/>
                            </a:prstGeom>
                            <a:noFill/>
                            <a:ln w="25400" cap="flat" cmpd="sng" algn="ctr">
                              <a:noFill/>
                              <a:prstDash val="solid"/>
                            </a:ln>
                            <a:effectLst/>
                          </wps:spPr>
                          <wps:txbx>
                            <w:txbxContent>
                              <w:p w14:paraId="0D4D644D">
                                <w:pPr>
                                  <w:rPr>
                                    <w:sz w:val="18"/>
                                    <w:szCs w:val="18"/>
                                  </w:rPr>
                                </w:pPr>
                                <w:r>
                                  <w:rPr>
                                    <w:rFonts w:hint="eastAsia"/>
                                    <w:sz w:val="18"/>
                                    <w:szCs w:val="18"/>
                                  </w:rPr>
                                  <w:t>修改</w:t>
                                </w:r>
                              </w:p>
                            </w:txbxContent>
                          </wps:txbx>
                          <wps:bodyPr rot="0" spcFirstLastPara="0" vertOverflow="overflow" horzOverflow="overflow" vert="eaVert" wrap="square" lIns="91440" tIns="45720" rIns="91440" bIns="45720" numCol="1" spcCol="0" rtlCol="0" fromWordArt="0" anchor="t" anchorCtr="0" forceAA="0" compatLnSpc="1">
                            <a:noAutofit/>
                          </wps:bodyPr>
                        </wps:wsp>
                        <wpg:grpSp>
                          <wpg:cNvPr id="33" name="组合 13"/>
                          <wpg:cNvGrpSpPr/>
                          <wpg:grpSpPr>
                            <a:xfrm>
                              <a:off x="11383" y="8204"/>
                              <a:ext cx="1016" cy="1273"/>
                              <a:chOff x="11383" y="8204"/>
                              <a:chExt cx="1016" cy="1273"/>
                            </a:xfrm>
                            <a:effectLst/>
                          </wpg:grpSpPr>
                          <wps:wsp>
                            <wps:cNvPr id="51" name="肘形连接符 12"/>
                            <wps:cNvCnPr>
                              <a:stCxn id="6" idx="3"/>
                              <a:endCxn id="34" idx="3"/>
                            </wps:cNvCnPr>
                            <wps:spPr>
                              <a:xfrm flipV="1">
                                <a:off x="11714" y="8204"/>
                                <a:ext cx="52" cy="1164"/>
                              </a:xfrm>
                              <a:prstGeom prst="bentConnector3">
                                <a:avLst>
                                  <a:gd name="adj1" fmla="val 821154"/>
                                </a:avLst>
                              </a:prstGeom>
                              <a:solidFill>
                                <a:srgbClr val="FFFFFF"/>
                              </a:solidFill>
                              <a:ln w="25400" cap="flat" cmpd="sng" algn="ctr">
                                <a:solidFill>
                                  <a:srgbClr val="000000"/>
                                </a:solidFill>
                                <a:prstDash val="solid"/>
                                <a:tailEnd type="arrow" w="med" len="med"/>
                              </a:ln>
                              <a:effectLst/>
                            </wps:spPr>
                            <wps:bodyPr/>
                          </wps:wsp>
                          <wps:wsp>
                            <wps:cNvPr id="52" name="文本框 16"/>
                            <wps:cNvSpPr txBox="1"/>
                            <wps:spPr>
                              <a:xfrm>
                                <a:off x="11383" y="8951"/>
                                <a:ext cx="1016" cy="526"/>
                              </a:xfrm>
                              <a:prstGeom prst="rect">
                                <a:avLst/>
                              </a:prstGeom>
                              <a:noFill/>
                              <a:ln w="25400" cap="flat" cmpd="sng" algn="ctr">
                                <a:noFill/>
                                <a:prstDash val="solid"/>
                              </a:ln>
                              <a:effectLst/>
                            </wps:spPr>
                            <wps:txbx>
                              <w:txbxContent>
                                <w:p w14:paraId="69B86EA5">
                                  <w:pPr>
                                    <w:rPr>
                                      <w:sz w:val="16"/>
                                      <w:szCs w:val="16"/>
                                    </w:rPr>
                                  </w:pPr>
                                  <w:r>
                                    <w:rPr>
                                      <w:rFonts w:hint="eastAsia"/>
                                      <w:sz w:val="18"/>
                                      <w:szCs w:val="18"/>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inline>
            </w:drawing>
          </mc:Choice>
          <mc:Fallback>
            <w:pict>
              <v:group id="组合 1026" o:spid="_x0000_s1026" o:spt="203" style="height:409pt;width:173.55pt;" coordorigin="9189,3286" coordsize="3471,8180" o:gfxdata="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">
                <o:lock v:ext="edit" rotation="t" aspectratio="f"/>
                <v:group id="组合 11" o:spid="_x0000_s1026" o:spt="203" style="position:absolute;left:10465;top:3768;height:7232;width:53;" coordorigin="10465,3768" coordsize="53,7232"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shape id="直接箭头连接符 22" o:spid="_x0000_s1026" o:spt="32" type="#_x0000_t32" style="position:absolute;left:10506;top:4609;height:361;width:4;" fillcolor="#FFFFFF" filled="t" stroked="t" coordsize="21600,21600" o:gfxdata="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OkC474A&#10;AADbAAAADwAAAAAAAAABACAAAAAiAAAAZHJzL2Rvd25yZXYueG1sUEsBAhQAFAAAAAgAh07iQDMv&#10;BZ47AAAAOQAAABAAAAAAAAAAAQAgAAAADQEAAGRycy9zaGFwZXhtbC54bWxQSwUGAAAAAAYABgBb&#10;AQAAtwMAAAAA&#10;">
                    <v:fill on="t" focussize="0,0"/>
                    <v:stroke weight="2pt" color="#000000" joinstyle="round" endarrow="open"/>
                    <v:imagedata o:title=""/>
                    <o:lock v:ext="edit" aspectratio="f"/>
                  </v:shape>
                  <v:shape id="直接箭头连接符 26" o:spid="_x0000_s1026" o:spt="32" type="#_x0000_t32" style="position:absolute;left:10465;top:10640;height:361;width:4;" fillcolor="#FFFFFF" filled="t" stroked="t" coordsize="21600,21600" o:gfxdata="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dzkPugAAANsA&#10;AAAPAAAAAAAAAAEAIAAAACIAAABkcnMvZG93bnJldi54bWxQSwECFAAUAAAACACHTuJAMy8FnjsA&#10;AAA5AAAAEAAAAAAAAAABACAAAAAJAQAAZHJzL3NoYXBleG1sLnhtbFBLBQYAAAAABgAGAFsBAACz&#10;AwAAAAA=&#10;">
                    <v:fill on="t" focussize="0,0"/>
                    <v:stroke weight="2pt" color="#000000" joinstyle="round" endarrow="open"/>
                    <v:imagedata o:title=""/>
                    <o:lock v:ext="edit" aspectratio="f"/>
                  </v:shape>
                  <v:shape id="直接箭头连接符 23" o:spid="_x0000_s1026" o:spt="32" type="#_x0000_t32" style="position:absolute;left:10514;top:6643;height:387;width:5;" fillcolor="#FFFFFF" filled="t" stroked="t" coordsize="21600,21600" o:gfxdata="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7nJS8AAAA&#10;2wAAAA8AAAAAAAAAAQAgAAAAIgAAAGRycy9kb3ducmV2LnhtbFBLAQIUABQAAAAIAIdO4kAzLwWe&#10;OwAAADkAAAAQAAAAAAAAAAEAIAAAAAsBAABkcnMvc2hhcGV4bWwueG1sUEsFBgAAAAAGAAYAWwEA&#10;ALUDAAAAAA==&#10;">
                    <v:fill on="t" focussize="0,0"/>
                    <v:stroke weight="2pt" color="#000000" joinstyle="round" endarrow="open"/>
                    <v:imagedata o:title=""/>
                    <o:lock v:ext="edit" aspectratio="f"/>
                  </v:shape>
                  <v:shape id="直接箭头连接符 32" o:spid="_x0000_s1026" o:spt="32" type="#_x0000_t32" style="position:absolute;left:10500;top:7475;height:361;width:4;" fillcolor="#FFFFFF" filled="t" stroked="t" coordsize="21600,21600" o:gfxdata="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0gTgugAAANsA&#10;AAAPAAAAAAAAAAEAIAAAACIAAABkcnMvZG93bnJldi54bWxQSwECFAAUAAAACACHTuJAMy8FnjsA&#10;AAA5AAAAEAAAAAAAAAABACAAAAAJAQAAZHJzL3NoYXBleG1sLnhtbFBLBQYAAAAABgAGAFsBAACz&#10;AwAAAAA=&#10;">
                    <v:fill on="t" focussize="0,0"/>
                    <v:stroke weight="2pt" color="#000000" joinstyle="round" endarrow="open"/>
                    <v:imagedata o:title=""/>
                    <o:lock v:ext="edit" aspectratio="f"/>
                  </v:shape>
                  <v:shape id="直接箭头连接符 31" o:spid="_x0000_s1026" o:spt="32" type="#_x0000_t32" style="position:absolute;left:10487;top:9795;height:361;width:4;" fillcolor="#FFFFFF" filled="t" stroked="t" coordsize="21600,21600" o:gfxdata="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eoXu8AAAA&#10;2wAAAA8AAAAAAAAAAQAgAAAAIgAAAGRycy9kb3ducmV2LnhtbFBLAQIUABQAAAAIAIdO4kAzLwWe&#10;OwAAADkAAAAQAAAAAAAAAAEAIAAAAAsBAABkcnMvc2hhcGV4bWwueG1sUEsFBgAAAAAGAAYAWwEA&#10;ALUDAAAAAA==&#10;">
                    <v:fill on="t" focussize="0,0"/>
                    <v:stroke weight="2pt" color="#000000" joinstyle="round" endarrow="open"/>
                    <v:imagedata o:title=""/>
                    <o:lock v:ext="edit" aspectratio="f"/>
                  </v:shape>
                  <v:shape id="直接箭头连接符 3" o:spid="_x0000_s1026" o:spt="32" type="#_x0000_t32" style="position:absolute;left:10500;top:3768;height:361;width:4;" fillcolor="#FFFFFF" filled="t" stroked="t" coordsize="21600,21600" o:gfxdata="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RMPwy5AAAA2wAA&#10;AA8AAAAAAAAAAQAgAAAAIgAAAGRycy9kb3ducmV2LnhtbFBLAQIUABQAAAAIAIdO4kAzLwWeOwAA&#10;ADkAAAAQAAAAAAAAAAEAIAAAAAgBAABkcnMvc2hhcGV4bWwueG1sUEsFBgAAAAAGAAYAWwEAALID&#10;AAAAAA==&#10;">
                    <v:fill on="t" focussize="0,0"/>
                    <v:stroke weight="2pt" color="#000000" joinstyle="round" endarrow="open"/>
                    <v:imagedata o:title=""/>
                    <o:lock v:ext="edit" aspectratio="f"/>
                  </v:shape>
                  <v:shape id="直接箭头连接符 2" o:spid="_x0000_s1026" o:spt="32" type="#_x0000_t32" style="position:absolute;left:10492;top:5442;height:374;width:10;" fillcolor="#FFFFFF" filled="t" stroked="t" coordsize="21600,21600" o:gfxdata="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AJqXugAAANsA&#10;AAAPAAAAAAAAAAEAIAAAACIAAABkcnMvZG93bnJldi54bWxQSwECFAAUAAAACACHTuJAMy8FnjsA&#10;AAA5AAAAEAAAAAAAAAABACAAAAAJAQAAZHJzL3NoYXBleG1sLnhtbFBLBQYAAAAABgAGAFsBAACz&#10;AwAAAAA=&#10;">
                    <v:fill on="t" focussize="0,0"/>
                    <v:stroke weight="2pt" color="#000000" joinstyle="round" endarrow="open"/>
                    <v:imagedata o:title=""/>
                    <o:lock v:ext="edit" aspectratio="f"/>
                  </v:shape>
                  <v:shape id="直接箭头连接符 9" o:spid="_x0000_s1026" o:spt="32" type="#_x0000_t32" style="position:absolute;left:10494;top:8586;height:359;width:7;" fillcolor="#FFFFFF" filled="t" stroked="t" coordsize="21600,21600" o:gfxdata="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06t+ugAAANsA&#10;AAAPAAAAAAAAAAEAIAAAACIAAABkcnMvZG93bnJldi54bWxQSwECFAAUAAAACACHTuJAMy8FnjsA&#10;AAA5AAAAEAAAAAAAAAABACAAAAAJAQAAZHJzL3NoYXBleG1sLnhtbFBLBQYAAAAABgAGAFsBAACz&#10;AwAAAAA=&#10;">
                    <v:fill on="t" focussize="0,0"/>
                    <v:stroke weight="2pt" color="#000000" joinstyle="round" endarrow="open"/>
                    <v:imagedata o:title=""/>
                    <o:lock v:ext="edit" aspectratio="f"/>
                  </v:shape>
                </v:group>
                <v:group id="组合 25" o:spid="_x0000_s1026" o:spt="203" style="position:absolute;left:9189;top:3286;height:8180;width:2600;" coordorigin="9189,3286" coordsize="2600,8180"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流程图: 过程 7" o:spid="_x0000_s1026" o:spt="109" type="#_x0000_t109" style="position:absolute;left:9219;top:4133;height:475;width:2563;v-text-anchor:middle;" fillcolor="#FFFFFF" filled="t" stroked="t" coordsize="21600,21600" o:gfxdata="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wA+u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w:txbxContent>
                        <w:p w14:paraId="1C80FE9D">
                          <w:pPr>
                            <w:jc w:val="center"/>
                            <w:rPr>
                              <w:sz w:val="24"/>
                            </w:rPr>
                          </w:pPr>
                          <w:r>
                            <w:rPr>
                              <w:rFonts w:hint="eastAsia"/>
                              <w:sz w:val="24"/>
                            </w:rPr>
                            <w:t>完善注册信息</w:t>
                          </w:r>
                        </w:p>
                      </w:txbxContent>
                    </v:textbox>
                  </v:shape>
                  <v:shape id="流程图: 过程 18" o:spid="_x0000_s1026" o:spt="109" type="#_x0000_t109" style="position:absolute;left:9189;top:10992;height:475;width:2563;v-text-anchor:middle;" fillcolor="#FFFFFF" filled="t" stroked="t" coordsize="21600,21600" o:gfxdata="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t6w2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w:txbxContent>
                        <w:p w14:paraId="2313ADF6">
                          <w:pPr>
                            <w:jc w:val="center"/>
                            <w:rPr>
                              <w:sz w:val="24"/>
                            </w:rPr>
                          </w:pPr>
                          <w:r>
                            <w:rPr>
                              <w:rFonts w:hint="eastAsia"/>
                              <w:sz w:val="24"/>
                            </w:rPr>
                            <w:t>发放资助金</w:t>
                          </w:r>
                        </w:p>
                      </w:txbxContent>
                    </v:textbox>
                  </v:shape>
                  <v:shape id="流程图: 过程 8" o:spid="_x0000_s1026" o:spt="109" type="#_x0000_t109" style="position:absolute;left:9210;top:4967;height:475;width:2563;v-text-anchor:middle;" fillcolor="#FFFFFF" filled="t" stroked="t" coordsize="21600,21600" o:gfxdata="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wmt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w:txbxContent>
                        <w:p w14:paraId="1A61428A">
                          <w:pPr>
                            <w:jc w:val="center"/>
                            <w:rPr>
                              <w:sz w:val="24"/>
                            </w:rPr>
                          </w:pPr>
                          <w:r>
                            <w:rPr>
                              <w:rFonts w:hint="eastAsia"/>
                              <w:sz w:val="24"/>
                            </w:rPr>
                            <w:t>网上申报</w:t>
                          </w:r>
                        </w:p>
                      </w:txbxContent>
                    </v:textbox>
                  </v:shape>
                  <v:shape id="流程图: 过程 30" o:spid="_x0000_s1026" o:spt="109" type="#_x0000_t109" style="position:absolute;left:9216;top:7006;height:474;width:2562;v-text-anchor:middle;" fillcolor="#FFFFFF" filled="t" stroked="t" coordsize="21600,21600" o:gfxdata="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mX2r4A&#10;AADb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w:txbxContent>
                        <w:p w14:paraId="32CE3860">
                          <w:pPr>
                            <w:jc w:val="center"/>
                            <w:rPr>
                              <w:sz w:val="24"/>
                            </w:rPr>
                          </w:pPr>
                          <w:r>
                            <w:rPr>
                              <w:rFonts w:hint="eastAsia"/>
                              <w:sz w:val="24"/>
                            </w:rPr>
                            <w:t>初核结果确认</w:t>
                          </w:r>
                        </w:p>
                      </w:txbxContent>
                    </v:textbox>
                  </v:shape>
                  <v:shape id="流程图: 过程 34" o:spid="_x0000_s1026" o:spt="109" type="#_x0000_t109" style="position:absolute;left:9203;top:7821;height:765;width:2563;v-text-anchor:middle;" fillcolor="#FFFFFF" filled="t" stroked="t" coordsize="21600,21600" o:gfxdata="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ZTJB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w:txbxContent>
                        <w:p w14:paraId="19F342B2">
                          <w:pPr>
                            <w:jc w:val="center"/>
                            <w:rPr>
                              <w:sz w:val="24"/>
                            </w:rPr>
                          </w:pPr>
                          <w:r>
                            <w:rPr>
                              <w:rFonts w:hint="eastAsia"/>
                              <w:sz w:val="24"/>
                            </w:rPr>
                            <w:t>资助金申报表打印、盖章、扫描、上传</w:t>
                          </w:r>
                        </w:p>
                        <w:p w14:paraId="6BFF22AE">
                          <w:pPr>
                            <w:rPr>
                              <w:sz w:val="24"/>
                            </w:rPr>
                          </w:pPr>
                        </w:p>
                      </w:txbxContent>
                    </v:textbox>
                  </v:shape>
                  <v:shape id="流程图: 过程 33" o:spid="_x0000_s1026" o:spt="109" type="#_x0000_t109" style="position:absolute;left:9210;top:10153;height:475;width:2563;v-text-anchor:middle;" fillcolor="#FFFFFF" filled="t" stroked="t" coordsize="21600,21600" o:gfxdata="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KfcL4A&#10;AADb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w:txbxContent>
                        <w:p w14:paraId="00B5E8D0">
                          <w:pPr>
                            <w:jc w:val="center"/>
                            <w:rPr>
                              <w:rFonts w:ascii="宋体" w:hAnsi="宋体" w:cs="宋体"/>
                              <w:sz w:val="24"/>
                            </w:rPr>
                          </w:pPr>
                          <w:r>
                            <w:rPr>
                              <w:rFonts w:hint="eastAsia" w:ascii="宋体" w:hAnsi="宋体" w:cs="宋体"/>
                              <w:sz w:val="24"/>
                            </w:rPr>
                            <w:t>发放名单公示</w:t>
                          </w:r>
                        </w:p>
                      </w:txbxContent>
                    </v:textbox>
                  </v:shape>
                  <v:shape id="流程图: 过程 4" o:spid="_x0000_s1026" o:spt="109" type="#_x0000_t109" style="position:absolute;left:9216;top:3286;height:475;width:2563;v-text-anchor:middle;" fillcolor="#FFFFFF" filled="t" stroked="t" coordsize="21600,21600" o:gfxdata="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ABB74A&#10;AADbAAAADwAAAAAAAAABACAAAAAiAAAAZHJzL2Rvd25yZXYueG1sUEsBAhQAFAAAAAgAh07iQDMv&#10;BZ47AAAAOQAAABAAAAAAAAAAAQAgAAAADQEAAGRycy9zaGFwZXhtbC54bWxQSwUGAAAAAAYABgBb&#10;AQAAtwMAAAAA&#10;">
                    <v:fill on="t" focussize="0,0"/>
                    <v:stroke weight="2pt" color="#000000" joinstyle="round"/>
                    <v:imagedata o:title=""/>
                    <o:lock v:ext="edit" aspectratio="f"/>
                    <v:textbox>
                      <w:txbxContent>
                        <w:p w14:paraId="1BA3C76A">
                          <w:pPr>
                            <w:jc w:val="center"/>
                            <w:rPr>
                              <w:sz w:val="24"/>
                            </w:rPr>
                          </w:pPr>
                          <w:r>
                            <w:rPr>
                              <w:rFonts w:hint="eastAsia"/>
                              <w:sz w:val="24"/>
                            </w:rPr>
                            <w:t>法人一证通登录系统</w:t>
                          </w:r>
                        </w:p>
                        <w:p w14:paraId="445F616F">
                          <w:pPr>
                            <w:jc w:val="center"/>
                            <w:rPr>
                              <w:sz w:val="24"/>
                            </w:rPr>
                          </w:pPr>
                        </w:p>
                      </w:txbxContent>
                    </v:textbox>
                  </v:shape>
                  <v:group id="组合 20" o:spid="_x0000_s1026" o:spt="203" style="position:absolute;left:9213;top:5816;height:1285;width:2576;" coordorigin="9213,5816" coordsize="2576,1285"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菱形 1" o:spid="_x0000_s1026" o:spt="4" type="#_x0000_t4" style="position:absolute;left:9213;top:5816;height:840;width:2577;v-text-anchor:middle;" fillcolor="#FFFFFF" filled="t" stroked="t" coordsize="21600,21600" o:gfxdata="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bKMK7sAAADb&#10;AAAADwAAAAAAAAABACAAAAAiAAAAZHJzL2Rvd25yZXYueG1sUEsBAhQAFAAAAAgAh07iQDMvBZ47&#10;AAAAOQAAABAAAAAAAAAAAQAgAAAACgEAAGRycy9zaGFwZXhtbC54bWxQSwUGAAAAAAYABgBbAQAA&#10;tAMAAAAA&#10;">
                      <v:fill on="t" focussize="0,0"/>
                      <v:stroke weight="2pt" color="#000000" joinstyle="round"/>
                      <v:imagedata o:title=""/>
                      <o:lock v:ext="edit" aspectratio="f"/>
                      <v:textbox>
                        <w:txbxContent>
                          <w:p w14:paraId="13CE7E46">
                            <w:pPr>
                              <w:jc w:val="center"/>
                              <w:rPr>
                                <w:sz w:val="24"/>
                              </w:rPr>
                            </w:pPr>
                            <w:r>
                              <w:rPr>
                                <w:rFonts w:hint="eastAsia"/>
                                <w:sz w:val="24"/>
                              </w:rPr>
                              <w:t>网上初核</w:t>
                            </w:r>
                          </w:p>
                        </w:txbxContent>
                      </v:textbox>
                    </v:shape>
                    <v:shape id="文本框 5" o:spid="_x0000_s1026" o:spt="202" type="#_x0000_t202" style="position:absolute;left:10552;top:6561;height:541;width:960;" filled="f" stroked="f" coordsize="21600,21600" o:gfxdata="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ZaK&#10;VsEAAADbAAAADwAAAAAAAAABACAAAAAiAAAAZHJzL2Rvd25yZXYueG1sUEsBAhQAFAAAAAgAh07i&#10;QDMvBZ47AAAAOQAAABAAAAAAAAAAAQAgAAAAEAEAAGRycy9zaGFwZXhtbC54bWxQSwUGAAAAAAYA&#10;BgBbAQAAugMAAAAA&#10;">
                      <v:fill on="f" focussize="0,0"/>
                      <v:stroke on="f" weight="2pt"/>
                      <v:imagedata o:title=""/>
                      <o:lock v:ext="edit" aspectratio="f"/>
                      <v:textbox>
                        <w:txbxContent>
                          <w:p w14:paraId="330A2FCB">
                            <w:pPr>
                              <w:rPr>
                                <w:sz w:val="18"/>
                                <w:szCs w:val="18"/>
                              </w:rPr>
                            </w:pPr>
                            <w:r>
                              <w:rPr>
                                <w:rFonts w:hint="eastAsia"/>
                                <w:sz w:val="18"/>
                                <w:szCs w:val="18"/>
                              </w:rPr>
                              <w:t>合格</w:t>
                            </w:r>
                          </w:p>
                        </w:txbxContent>
                      </v:textbox>
                    </v:shape>
                  </v:group>
                  <v:group id="组合 19" o:spid="_x0000_s1026" o:spt="203" style="position:absolute;left:9267;top:8948;height:1230;width:2446;" coordorigin="9267,8948" coordsize="2446,1230"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菱形 6" o:spid="_x0000_s1026" o:spt="4" type="#_x0000_t4" style="position:absolute;left:9267;top:8948;height:839;width:2447;v-text-anchor:middle;" fillcolor="#FFFFFF" filled="t" stroked="t" coordsize="21600,21600" o:gfxdata="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jlbLvQAA&#10;ANsAAAAPAAAAAAAAAAEAIAAAACIAAABkcnMvZG93bnJldi54bWxQSwECFAAUAAAACACHTuJAMy8F&#10;njsAAAA5AAAAEAAAAAAAAAABACAAAAAMAQAAZHJzL3NoYXBleG1sLnhtbFBLBQYAAAAABgAGAFsB&#10;AAC2AwAAAAA=&#10;">
                      <v:fill on="t" focussize="0,0"/>
                      <v:stroke weight="2pt" color="#000000" joinstyle="round"/>
                      <v:imagedata o:title=""/>
                      <o:lock v:ext="edit" aspectratio="f"/>
                      <v:textbox>
                        <w:txbxContent>
                          <w:p w14:paraId="43C46143">
                            <w:pPr>
                              <w:jc w:val="center"/>
                              <w:rPr>
                                <w:sz w:val="24"/>
                              </w:rPr>
                            </w:pPr>
                            <w:r>
                              <w:rPr>
                                <w:rFonts w:hint="eastAsia"/>
                                <w:sz w:val="24"/>
                              </w:rPr>
                              <w:t>审核</w:t>
                            </w:r>
                          </w:p>
                        </w:txbxContent>
                      </v:textbox>
                    </v:shape>
                    <v:shape id="文本框 10" o:spid="_x0000_s1026" o:spt="202" type="#_x0000_t202" style="position:absolute;left:10523;top:9692;height:486;width:794;" filled="f" stroked="f" coordsize="21600,21600" o:gfxdata="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NGta&#10;wAAAANsAAAAPAAAAAAAAAAEAIAAAACIAAABkcnMvZG93bnJldi54bWxQSwECFAAUAAAACACHTuJA&#10;My8FnjsAAAA5AAAAEAAAAAAAAAABACAAAAAPAQAAZHJzL3NoYXBleG1sLnhtbFBLBQYAAAAABgAG&#10;AFsBAAC5AwAAAAA=&#10;">
                      <v:fill on="f" focussize="0,0"/>
                      <v:stroke on="f" weight="2pt"/>
                      <v:imagedata o:title=""/>
                      <o:lock v:ext="edit" aspectratio="f"/>
                      <v:textbox>
                        <w:txbxContent>
                          <w:p w14:paraId="5C36DEFE">
                            <w:pPr>
                              <w:rPr>
                                <w:sz w:val="18"/>
                                <w:szCs w:val="18"/>
                              </w:rPr>
                            </w:pPr>
                            <w:r>
                              <w:rPr>
                                <w:rFonts w:hint="eastAsia"/>
                                <w:sz w:val="18"/>
                                <w:szCs w:val="18"/>
                              </w:rPr>
                              <w:t>合格</w:t>
                            </w:r>
                          </w:p>
                        </w:txbxContent>
                      </v:textbox>
                    </v:shape>
                  </v:group>
                </v:group>
                <v:group id="组合 24" o:spid="_x0000_s1026" o:spt="203" style="position:absolute;left:11412;top:5205;height:1174;width:1248;" coordorigin="11412,5205" coordsize="1248,1174"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文本框 28" o:spid="_x0000_s1026" o:spt="202" type="#_x0000_t202" style="position:absolute;left:11978;top:5437;height:755;width:683;" filled="f" stroked="f" coordsize="21600,21600" o:gfxdata="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MP79vQAA&#10;ANsAAAAPAAAAAAAAAAEAIAAAACIAAABkcnMvZG93bnJldi54bWxQSwECFAAUAAAACACHTuJAMy8F&#10;njsAAAA5AAAAEAAAAAAAAAABACAAAAAMAQAAZHJzL3NoYXBleG1sLnhtbFBLBQYAAAAABgAGAFsB&#10;AAC2AwAAAAA=&#10;">
                    <v:fill on="f" focussize="0,0"/>
                    <v:stroke on="f" weight="2pt"/>
                    <v:imagedata o:title=""/>
                    <o:lock v:ext="edit" aspectratio="f"/>
                    <v:textbox style="layout-flow:vertical-ideographic;">
                      <w:txbxContent>
                        <w:p w14:paraId="06B76058">
                          <w:pPr>
                            <w:rPr>
                              <w:sz w:val="18"/>
                              <w:szCs w:val="18"/>
                            </w:rPr>
                          </w:pPr>
                          <w:r>
                            <w:rPr>
                              <w:rFonts w:hint="eastAsia"/>
                              <w:sz w:val="18"/>
                              <w:szCs w:val="18"/>
                            </w:rPr>
                            <w:t>修改</w:t>
                          </w:r>
                        </w:p>
                      </w:txbxContent>
                    </v:textbox>
                  </v:shape>
                  <v:group id="组合 21" o:spid="_x0000_s1026" o:spt="203" style="position:absolute;left:11412;top:5205;height:1175;width:922;" coordorigin="11412,5205" coordsize="922,1175"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肘形连接符 27" o:spid="_x0000_s1026" o:spt="34" type="#_x0000_t34" style="position:absolute;left:11773;top:5205;flip:x y;height:1031;width:17;" fillcolor="#FFFFFF" filled="t" stroked="t" coordsize="21600,21600" o:gfxdata="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cB1vQAA&#10;ANsAAAAPAAAAAAAAAAEAIAAAACIAAABkcnMvZG93bnJldi54bWxQSwECFAAUAAAACACHTuJAMy8F&#10;njsAAAA5AAAAEAAAAAAAAAABACAAAAAMAQAAZHJzL3NoYXBleG1sLnhtbFBLBQYAAAAABgAGAFsB&#10;AAC2AwAAAAA=&#10;" adj="-476471">
                      <v:fill on="t" focussize="0,0"/>
                      <v:stroke weight="2pt" color="#000000" joinstyle="round" endarrow="open"/>
                      <v:imagedata o:title=""/>
                      <o:lock v:ext="edit" aspectratio="f"/>
                    </v:shape>
                    <v:shape id="文本框 15" o:spid="_x0000_s1026" o:spt="202" type="#_x0000_t202" style="position:absolute;left:11412;top:5782;height:598;width:922;" filled="f" stroked="f" coordsize="21600,21600" o:gfxdata="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Q8jC&#10;wAAAANsAAAAPAAAAAAAAAAEAIAAAACIAAABkcnMvZG93bnJldi54bWxQSwECFAAUAAAACACHTuJA&#10;My8FnjsAAAA5AAAAEAAAAAAAAAABACAAAAAPAQAAZHJzL3NoYXBleG1sLnhtbFBLBQYAAAAABgAG&#10;AFsBAAC5AwAAAAA=&#10;">
                      <v:fill on="f" focussize="0,0"/>
                      <v:stroke on="f" weight="2pt"/>
                      <v:imagedata o:title=""/>
                      <o:lock v:ext="edit" aspectratio="f"/>
                      <v:textbox>
                        <w:txbxContent>
                          <w:p w14:paraId="0C1AE8D0">
                            <w:pPr>
                              <w:rPr>
                                <w:sz w:val="18"/>
                                <w:szCs w:val="18"/>
                              </w:rPr>
                            </w:pPr>
                            <w:r>
                              <w:rPr>
                                <w:rFonts w:hint="eastAsia"/>
                                <w:sz w:val="18"/>
                                <w:szCs w:val="18"/>
                              </w:rPr>
                              <w:t>不合格</w:t>
                            </w:r>
                          </w:p>
                        </w:txbxContent>
                      </v:textbox>
                    </v:shape>
                  </v:group>
                </v:group>
                <v:group id="组合 17" o:spid="_x0000_s1026" o:spt="203" style="position:absolute;left:11383;top:8204;height:1272;width:1259;" coordorigin="11383,8204" coordsize="1259,1272"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文本框 14" o:spid="_x0000_s1026" o:spt="202" type="#_x0000_t202" style="position:absolute;left:12004;top:8521;height:656;width:638;" filled="f" stroked="f" coordsize="21600,21600" o:gfxdata="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gxUWO/&#10;AAAA2wAAAA8AAAAAAAAAAQAgAAAAIgAAAGRycy9kb3ducmV2LnhtbFBLAQIUABQAAAAIAIdO4kAz&#10;LwWeOwAAADkAAAAQAAAAAAAAAAEAIAAAAA4BAABkcnMvc2hhcGV4bWwueG1sUEsFBgAAAAAGAAYA&#10;WwEAALgDAAAAAA==&#10;">
                    <v:fill on="f" focussize="0,0"/>
                    <v:stroke on="f" weight="2pt"/>
                    <v:imagedata o:title=""/>
                    <o:lock v:ext="edit" aspectratio="f"/>
                    <v:textbox style="layout-flow:vertical-ideographic;">
                      <w:txbxContent>
                        <w:p w14:paraId="0D4D644D">
                          <w:pPr>
                            <w:rPr>
                              <w:sz w:val="18"/>
                              <w:szCs w:val="18"/>
                            </w:rPr>
                          </w:pPr>
                          <w:r>
                            <w:rPr>
                              <w:rFonts w:hint="eastAsia"/>
                              <w:sz w:val="18"/>
                              <w:szCs w:val="18"/>
                            </w:rPr>
                            <w:t>修改</w:t>
                          </w:r>
                        </w:p>
                      </w:txbxContent>
                    </v:textbox>
                  </v:shape>
                  <v:group id="组合 13" o:spid="_x0000_s1026" o:spt="203" style="position:absolute;left:11383;top:8204;height:1273;width:1016;" coordorigin="11383,8204" coordsize="1016,1273"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肘形连接符 12" o:spid="_x0000_s1026" o:spt="34" type="#_x0000_t34" style="position:absolute;left:11714;top:8204;flip:y;height:1164;width:52;" fillcolor="#FFFFFF" filled="t" stroked="t" coordsize="21600,21600" o:gfxdata="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RmOm8AAAA&#10;2wAAAA8AAAAAAAAAAQAgAAAAIgAAAGRycy9kb3ducmV2LnhtbFBLAQIUABQAAAAIAIdO4kAzLwWe&#10;OwAAADkAAAAQAAAAAAAAAAEAIAAAAAsBAABkcnMvc2hhcGV4bWwueG1sUEsFBgAAAAAGAAYAWwEA&#10;ALUDAAAAAA==&#10;" adj="177369">
                      <v:fill on="t" focussize="0,0"/>
                      <v:stroke weight="2pt" color="#000000" joinstyle="round" endarrow="open"/>
                      <v:imagedata o:title=""/>
                      <o:lock v:ext="edit" aspectratio="f"/>
                    </v:shape>
                    <v:shape id="文本框 16" o:spid="_x0000_s1026" o:spt="202" type="#_x0000_t202" style="position:absolute;left:11383;top:8951;height:526;width:1016;" filled="f" stroked="f" coordsize="21600,21600" o:gfxdata="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7f2H&#10;wAAAANsAAAAPAAAAAAAAAAEAIAAAACIAAABkcnMvZG93bnJldi54bWxQSwECFAAUAAAACACHTuJA&#10;My8FnjsAAAA5AAAAEAAAAAAAAAABACAAAAAPAQAAZHJzL3NoYXBleG1sLnhtbFBLBQYAAAAABgAG&#10;AFsBAAC5AwAAAAA=&#10;">
                      <v:fill on="f" focussize="0,0"/>
                      <v:stroke on="f" weight="2pt"/>
                      <v:imagedata o:title=""/>
                      <o:lock v:ext="edit" aspectratio="f"/>
                      <v:textbox>
                        <w:txbxContent>
                          <w:p w14:paraId="69B86EA5">
                            <w:pPr>
                              <w:rPr>
                                <w:sz w:val="16"/>
                                <w:szCs w:val="16"/>
                              </w:rPr>
                            </w:pPr>
                            <w:r>
                              <w:rPr>
                                <w:rFonts w:hint="eastAsia"/>
                                <w:sz w:val="18"/>
                                <w:szCs w:val="18"/>
                              </w:rPr>
                              <w:t>不合格</w:t>
                            </w:r>
                          </w:p>
                        </w:txbxContent>
                      </v:textbox>
                    </v:shape>
                  </v:group>
                </v:group>
                <w10:wrap type="none"/>
                <w10:anchorlock/>
              </v:group>
            </w:pict>
          </mc:Fallback>
        </mc:AlternateContent>
      </w:r>
    </w:p>
    <w:p w14:paraId="3CD2DD18">
      <w:pPr>
        <w:jc w:val="center"/>
        <w:rPr>
          <w:rFonts w:ascii="黑体" w:hAnsi="黑体" w:eastAsia="黑体" w:cs="黑体"/>
          <w:highlight w:val="none"/>
        </w:rPr>
      </w:pPr>
    </w:p>
    <w:p w14:paraId="301726B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3.</w:t>
      </w:r>
      <w:r>
        <w:rPr>
          <w:rFonts w:hint="eastAsia" w:ascii="Times New Roman" w:hAnsi="Times New Roman" w:eastAsia="仿宋_GB2312"/>
          <w:sz w:val="32"/>
          <w:highlight w:val="none"/>
        </w:rPr>
        <w:t>一个</w:t>
      </w:r>
      <w:r>
        <w:rPr>
          <w:rFonts w:ascii="Times New Roman" w:hAnsi="Times New Roman" w:eastAsia="仿宋_GB2312"/>
          <w:sz w:val="32"/>
          <w:highlight w:val="none"/>
        </w:rPr>
        <w:t>申报周期内，申请人对同一类知识产权的资助仅能申报一次。申请人原则上应自行申报，需委托知识产权服务机构</w:t>
      </w:r>
      <w:r>
        <w:rPr>
          <w:rFonts w:hint="eastAsia" w:ascii="Times New Roman" w:hAnsi="Times New Roman" w:eastAsia="仿宋_GB2312"/>
          <w:sz w:val="32"/>
          <w:highlight w:val="none"/>
        </w:rPr>
        <w:t>办理</w:t>
      </w:r>
      <w:r>
        <w:rPr>
          <w:rFonts w:ascii="Times New Roman" w:hAnsi="Times New Roman" w:eastAsia="仿宋_GB2312"/>
          <w:sz w:val="32"/>
          <w:highlight w:val="none"/>
        </w:rPr>
        <w:t>专利</w:t>
      </w:r>
      <w:r>
        <w:rPr>
          <w:rFonts w:hint="eastAsia" w:ascii="Times New Roman" w:hAnsi="Times New Roman" w:eastAsia="仿宋_GB2312"/>
          <w:sz w:val="32"/>
          <w:highlight w:val="none"/>
        </w:rPr>
        <w:t>或者</w:t>
      </w:r>
      <w:r>
        <w:rPr>
          <w:rFonts w:ascii="Times New Roman" w:hAnsi="Times New Roman" w:eastAsia="仿宋_GB2312"/>
          <w:sz w:val="32"/>
          <w:highlight w:val="none"/>
        </w:rPr>
        <w:t>商标资助金的，应在北京市知识产权资助金网上申报系统中（以下简</w:t>
      </w:r>
      <w:r>
        <w:rPr>
          <w:rFonts w:hint="eastAsia" w:ascii="仿宋_GB2312" w:hAnsi="仿宋_GB2312" w:eastAsia="仿宋_GB2312" w:cs="仿宋_GB2312"/>
          <w:sz w:val="32"/>
          <w:highlight w:val="none"/>
        </w:rPr>
        <w:t>称“网上申报系统”）</w:t>
      </w:r>
      <w:r>
        <w:rPr>
          <w:rFonts w:ascii="Times New Roman" w:hAnsi="Times New Roman" w:eastAsia="仿宋_GB2312"/>
          <w:sz w:val="32"/>
          <w:highlight w:val="none"/>
        </w:rPr>
        <w:t>指定相应的服务机构</w:t>
      </w:r>
      <w:r>
        <w:rPr>
          <w:rFonts w:hint="eastAsia" w:ascii="Times New Roman" w:hAnsi="Times New Roman" w:eastAsia="仿宋_GB2312"/>
          <w:sz w:val="32"/>
          <w:highlight w:val="none"/>
        </w:rPr>
        <w:t>进行授权</w:t>
      </w:r>
      <w:r>
        <w:rPr>
          <w:rFonts w:ascii="Times New Roman" w:hAnsi="Times New Roman" w:eastAsia="仿宋_GB2312"/>
          <w:sz w:val="32"/>
          <w:highlight w:val="none"/>
        </w:rPr>
        <w:t>，服务机构接受</w:t>
      </w:r>
      <w:r>
        <w:rPr>
          <w:rFonts w:hint="eastAsia" w:ascii="Times New Roman" w:hAnsi="Times New Roman" w:eastAsia="仿宋_GB2312"/>
          <w:sz w:val="32"/>
          <w:highlight w:val="none"/>
        </w:rPr>
        <w:t>申请人的</w:t>
      </w:r>
      <w:r>
        <w:rPr>
          <w:rFonts w:ascii="Times New Roman" w:hAnsi="Times New Roman" w:eastAsia="仿宋_GB2312"/>
          <w:sz w:val="32"/>
          <w:highlight w:val="none"/>
        </w:rPr>
        <w:t>委托后方可进行申报。专利</w:t>
      </w:r>
      <w:r>
        <w:rPr>
          <w:rFonts w:hint="eastAsia" w:ascii="Times New Roman" w:hAnsi="Times New Roman" w:eastAsia="仿宋_GB2312"/>
          <w:sz w:val="32"/>
          <w:highlight w:val="none"/>
        </w:rPr>
        <w:t>和</w:t>
      </w:r>
      <w:r>
        <w:rPr>
          <w:rFonts w:ascii="Times New Roman" w:hAnsi="Times New Roman" w:eastAsia="仿宋_GB2312"/>
          <w:sz w:val="32"/>
          <w:highlight w:val="none"/>
        </w:rPr>
        <w:t>商标资助金申报可以分别委托不同的知识产权服务机构</w:t>
      </w:r>
      <w:r>
        <w:rPr>
          <w:rFonts w:hint="eastAsia" w:ascii="Times New Roman" w:hAnsi="Times New Roman" w:eastAsia="仿宋_GB2312"/>
          <w:sz w:val="32"/>
          <w:highlight w:val="none"/>
        </w:rPr>
        <w:t>办理，</w:t>
      </w:r>
      <w:r>
        <w:rPr>
          <w:rFonts w:ascii="Times New Roman" w:hAnsi="Times New Roman" w:eastAsia="仿宋_GB2312"/>
          <w:sz w:val="32"/>
          <w:highlight w:val="none"/>
        </w:rPr>
        <w:t>委托申报</w:t>
      </w:r>
      <w:r>
        <w:rPr>
          <w:rFonts w:hint="eastAsia" w:ascii="Times New Roman" w:hAnsi="Times New Roman" w:eastAsia="仿宋_GB2312"/>
          <w:sz w:val="32"/>
          <w:highlight w:val="none"/>
        </w:rPr>
        <w:t>一经受理，</w:t>
      </w:r>
      <w:r>
        <w:rPr>
          <w:rFonts w:ascii="Times New Roman" w:hAnsi="Times New Roman" w:eastAsia="仿宋_GB2312"/>
          <w:sz w:val="32"/>
          <w:highlight w:val="none"/>
        </w:rPr>
        <w:t>申请人不能再自行申报。</w:t>
      </w:r>
    </w:p>
    <w:p w14:paraId="1C84B8C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hint="eastAsia" w:ascii="Times New Roman" w:hAnsi="Times New Roman" w:eastAsia="黑体"/>
          <w:sz w:val="32"/>
          <w:highlight w:val="none"/>
        </w:rPr>
        <w:t>四、申报与审核</w:t>
      </w:r>
    </w:p>
    <w:p w14:paraId="2C2B27A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申请人应首先通过首都之窗</w:t>
      </w:r>
      <w:r>
        <w:rPr>
          <w:rFonts w:hint="eastAsia" w:ascii="Times New Roman" w:hAnsi="Times New Roman" w:eastAsia="仿宋_GB2312"/>
          <w:sz w:val="32"/>
          <w:highlight w:val="none"/>
        </w:rPr>
        <w:t>网站北京市统一身份认证平台（北京市法人一证通平台）</w:t>
      </w:r>
      <w:r>
        <w:rPr>
          <w:rFonts w:ascii="Times New Roman" w:hAnsi="Times New Roman" w:eastAsia="仿宋_GB2312"/>
          <w:sz w:val="32"/>
          <w:highlight w:val="none"/>
        </w:rPr>
        <w:t>登录网上申报系统</w:t>
      </w:r>
      <w:r>
        <w:rPr>
          <w:rFonts w:hint="eastAsia" w:ascii="仿宋_GB2312" w:hAnsi="仿宋_GB2312" w:eastAsia="仿宋_GB2312" w:cs="仿宋_GB2312"/>
          <w:sz w:val="32"/>
          <w:highlight w:val="none"/>
        </w:rPr>
        <w:t>，</w:t>
      </w:r>
      <w:r>
        <w:rPr>
          <w:rFonts w:ascii="Times New Roman" w:hAnsi="Times New Roman" w:eastAsia="仿宋_GB2312"/>
          <w:sz w:val="32"/>
          <w:highlight w:val="none"/>
        </w:rPr>
        <w:t>填写或完善</w:t>
      </w:r>
      <w:r>
        <w:rPr>
          <w:rFonts w:hint="eastAsia" w:ascii="Times New Roman" w:hAnsi="Times New Roman" w:eastAsia="仿宋_GB2312"/>
          <w:sz w:val="32"/>
          <w:highlight w:val="none"/>
        </w:rPr>
        <w:t>申请人</w:t>
      </w:r>
      <w:r>
        <w:rPr>
          <w:rFonts w:ascii="Times New Roman" w:hAnsi="Times New Roman" w:eastAsia="仿宋_GB2312"/>
          <w:sz w:val="32"/>
          <w:highlight w:val="none"/>
        </w:rPr>
        <w:t>信息</w:t>
      </w:r>
      <w:r>
        <w:rPr>
          <w:rFonts w:hint="eastAsia" w:ascii="Times New Roman" w:hAnsi="Times New Roman" w:eastAsia="仿宋_GB2312"/>
          <w:sz w:val="32"/>
          <w:highlight w:val="none"/>
        </w:rPr>
        <w:t>。</w:t>
      </w:r>
    </w:p>
    <w:p w14:paraId="1FC0722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楷体_GB2312"/>
          <w:sz w:val="32"/>
          <w:highlight w:val="none"/>
        </w:rPr>
      </w:pPr>
      <w:r>
        <w:rPr>
          <w:rFonts w:ascii="Times New Roman" w:hAnsi="Times New Roman" w:eastAsia="楷体_GB2312"/>
          <w:sz w:val="32"/>
          <w:highlight w:val="none"/>
        </w:rPr>
        <w:t>（一）网上申报</w:t>
      </w:r>
    </w:p>
    <w:p w14:paraId="578CBE5E">
      <w:pPr>
        <w:pStyle w:val="11"/>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ascii="Times New Roman" w:hAnsi="Times New Roman" w:eastAsia="仿宋_GB2312"/>
          <w:highlight w:val="none"/>
        </w:rPr>
      </w:pPr>
      <w:r>
        <w:rPr>
          <w:rFonts w:ascii="Times New Roman" w:hAnsi="Times New Roman" w:eastAsia="仿宋_GB2312"/>
          <w:highlight w:val="none"/>
        </w:rPr>
        <w:t>专利</w:t>
      </w:r>
      <w:r>
        <w:rPr>
          <w:rFonts w:hint="eastAsia" w:ascii="Times New Roman" w:hAnsi="Times New Roman" w:eastAsia="仿宋_GB2312"/>
          <w:highlight w:val="none"/>
        </w:rPr>
        <w:t>、</w:t>
      </w:r>
      <w:r>
        <w:rPr>
          <w:rFonts w:ascii="Times New Roman" w:hAnsi="Times New Roman" w:eastAsia="仿宋_GB2312"/>
          <w:highlight w:val="none"/>
        </w:rPr>
        <w:t>商标</w:t>
      </w:r>
      <w:r>
        <w:rPr>
          <w:rFonts w:hint="eastAsia" w:ascii="Times New Roman" w:hAnsi="Times New Roman" w:eastAsia="仿宋_GB2312"/>
          <w:highlight w:val="none"/>
        </w:rPr>
        <w:t>和</w:t>
      </w:r>
      <w:r>
        <w:rPr>
          <w:rFonts w:hint="eastAsia" w:ascii="Times New Roman" w:hAnsi="Times New Roman" w:eastAsia="仿宋_GB2312"/>
          <w:kern w:val="0"/>
          <w:szCs w:val="32"/>
          <w:highlight w:val="none"/>
        </w:rPr>
        <w:t>知识产权使用费出口资助金</w:t>
      </w:r>
      <w:r>
        <w:rPr>
          <w:rFonts w:ascii="Times New Roman" w:hAnsi="Times New Roman" w:eastAsia="仿宋_GB2312"/>
          <w:highlight w:val="none"/>
        </w:rPr>
        <w:t>需分别申报。</w:t>
      </w:r>
    </w:p>
    <w:p w14:paraId="43C6644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1.申报</w:t>
      </w:r>
      <w:r>
        <w:rPr>
          <w:rFonts w:hint="eastAsia" w:ascii="Times New Roman" w:hAnsi="Times New Roman" w:eastAsia="仿宋_GB2312"/>
          <w:sz w:val="32"/>
          <w:highlight w:val="none"/>
        </w:rPr>
        <w:t>国外</w:t>
      </w:r>
      <w:r>
        <w:rPr>
          <w:rFonts w:ascii="Times New Roman" w:hAnsi="Times New Roman" w:eastAsia="仿宋_GB2312"/>
          <w:sz w:val="32"/>
          <w:highlight w:val="none"/>
        </w:rPr>
        <w:t>发明专利资助的</w:t>
      </w:r>
      <w:r>
        <w:rPr>
          <w:rFonts w:hint="eastAsia" w:ascii="Times New Roman" w:hAnsi="Times New Roman" w:eastAsia="仿宋_GB2312"/>
          <w:sz w:val="32"/>
          <w:highlight w:val="none"/>
        </w:rPr>
        <w:t>，巴黎公约途径授权专利的优先权必须为中国专利申请，PCT途径授权专利的</w:t>
      </w:r>
      <w:r>
        <w:rPr>
          <w:rFonts w:ascii="Times New Roman" w:hAnsi="Times New Roman" w:eastAsia="仿宋_GB2312"/>
          <w:sz w:val="32"/>
          <w:highlight w:val="none"/>
        </w:rPr>
        <w:t>PCT</w:t>
      </w:r>
      <w:r>
        <w:rPr>
          <w:rFonts w:hint="eastAsia" w:ascii="Times New Roman" w:hAnsi="Times New Roman" w:eastAsia="仿宋_GB2312"/>
          <w:sz w:val="32"/>
          <w:highlight w:val="none"/>
        </w:rPr>
        <w:t>申请受理局必须为中国国家知识产权局。对同一中国专利申请（基于同一PCT或优先权）在多个国家（地区）经实质审查授权的，每个国家（地区）只资助一次。对非实审授权的国外发明专利不予资助。</w:t>
      </w:r>
    </w:p>
    <w:p w14:paraId="530CC0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申报美国、日本、欧洲专利局发明专利资助的，需按照</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申报系统要求选择专利申请途径，填写准确的优先权号和PCT号，优先权号应为</w:t>
      </w:r>
      <w:r>
        <w:rPr>
          <w:rFonts w:hint="eastAsia" w:ascii="Times New Roman" w:hAnsi="Times New Roman" w:eastAsia="仿宋_GB2312"/>
          <w:sz w:val="32"/>
          <w:highlight w:val="none"/>
        </w:rPr>
        <w:t>9或</w:t>
      </w:r>
      <w:r>
        <w:rPr>
          <w:rFonts w:ascii="Times New Roman" w:hAnsi="Times New Roman" w:eastAsia="仿宋_GB2312"/>
          <w:sz w:val="32"/>
          <w:highlight w:val="none"/>
        </w:rPr>
        <w:t>13位中国专利号，PCT号格式应为PCT/CN</w:t>
      </w:r>
      <w:r>
        <w:rPr>
          <w:rFonts w:hint="eastAsia" w:ascii="仿宋_GB2312" w:hAnsi="仿宋_GB2312" w:eastAsia="仿宋_GB2312" w:cs="仿宋_GB2312"/>
          <w:sz w:val="32"/>
          <w:highlight w:val="none"/>
        </w:rPr>
        <w:t>****</w:t>
      </w:r>
      <w:r>
        <w:rPr>
          <w:rFonts w:ascii="Times New Roman" w:hAnsi="Times New Roman" w:eastAsia="仿宋_GB2312"/>
          <w:sz w:val="32"/>
          <w:highlight w:val="none"/>
        </w:rPr>
        <w:t>/</w:t>
      </w:r>
      <w:r>
        <w:rPr>
          <w:rFonts w:hint="eastAsia" w:ascii="仿宋_GB2312" w:hAnsi="仿宋_GB2312" w:eastAsia="仿宋_GB2312" w:cs="仿宋_GB2312"/>
          <w:sz w:val="32"/>
          <w:highlight w:val="none"/>
        </w:rPr>
        <w:t>******</w:t>
      </w:r>
      <w:r>
        <w:rPr>
          <w:rFonts w:ascii="Times New Roman" w:hAnsi="Times New Roman" w:eastAsia="仿宋_GB2312"/>
          <w:sz w:val="32"/>
          <w:highlight w:val="none"/>
        </w:rPr>
        <w:t>（</w:t>
      </w:r>
      <w:r>
        <w:rPr>
          <w:rFonts w:hint="eastAsia" w:ascii="仿宋_GB2312" w:hAnsi="仿宋_GB2312" w:eastAsia="仿宋_GB2312" w:cs="仿宋_GB2312"/>
          <w:sz w:val="32"/>
          <w:highlight w:val="none"/>
        </w:rPr>
        <w:t>*</w:t>
      </w:r>
      <w:r>
        <w:rPr>
          <w:rFonts w:ascii="Times New Roman" w:hAnsi="Times New Roman" w:eastAsia="仿宋_GB2312"/>
          <w:sz w:val="32"/>
          <w:highlight w:val="none"/>
        </w:rPr>
        <w:t>号处填写数字），并准确填写授权信息；</w:t>
      </w:r>
    </w:p>
    <w:p w14:paraId="31A5A83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申报美国、日本、欧洲专利局以外国家或者地区发明专利资助的，除应按照</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申报系统要求进行选择、填写外，还应上传附件，附件1</w:t>
      </w:r>
      <w:r>
        <w:rPr>
          <w:rFonts w:hint="eastAsia" w:ascii="Times New Roman" w:hAnsi="Times New Roman" w:eastAsia="仿宋_GB2312"/>
          <w:sz w:val="32"/>
          <w:highlight w:val="none"/>
        </w:rPr>
        <w:t>处</w:t>
      </w:r>
      <w:r>
        <w:rPr>
          <w:rFonts w:ascii="Times New Roman" w:hAnsi="Times New Roman" w:eastAsia="仿宋_GB2312"/>
          <w:sz w:val="32"/>
          <w:highlight w:val="none"/>
        </w:rPr>
        <w:t>上传相关专利审查机构发布的专利授权公告著录项目页电子版或者含有著录项目信息的专利证书扫描件，非英语国家的国外专利还应在附件2</w:t>
      </w:r>
      <w:r>
        <w:rPr>
          <w:rFonts w:hint="eastAsia" w:ascii="Times New Roman" w:hAnsi="Times New Roman" w:eastAsia="仿宋_GB2312"/>
          <w:sz w:val="32"/>
          <w:highlight w:val="none"/>
        </w:rPr>
        <w:t>处</w:t>
      </w:r>
      <w:r>
        <w:rPr>
          <w:rFonts w:ascii="Times New Roman" w:hAnsi="Times New Roman" w:eastAsia="仿宋_GB2312"/>
          <w:sz w:val="32"/>
          <w:highlight w:val="none"/>
        </w:rPr>
        <w:t>上传附件1</w:t>
      </w:r>
      <w:r>
        <w:rPr>
          <w:rFonts w:hint="eastAsia" w:ascii="Times New Roman" w:hAnsi="Times New Roman" w:eastAsia="仿宋_GB2312"/>
          <w:sz w:val="32"/>
          <w:highlight w:val="none"/>
        </w:rPr>
        <w:t>对应</w:t>
      </w:r>
      <w:r>
        <w:rPr>
          <w:rFonts w:ascii="Times New Roman" w:hAnsi="Times New Roman" w:eastAsia="仿宋_GB2312"/>
          <w:sz w:val="32"/>
          <w:highlight w:val="none"/>
        </w:rPr>
        <w:t>的中文译文，每份中文译文需加盖申请人公章或翻译机构</w:t>
      </w:r>
      <w:r>
        <w:rPr>
          <w:rFonts w:hint="eastAsia" w:ascii="Times New Roman" w:hAnsi="Times New Roman" w:eastAsia="仿宋_GB2312"/>
          <w:sz w:val="32"/>
          <w:highlight w:val="none"/>
        </w:rPr>
        <w:t>（含</w:t>
      </w:r>
      <w:r>
        <w:rPr>
          <w:rFonts w:ascii="Times New Roman" w:hAnsi="Times New Roman" w:eastAsia="仿宋_GB2312"/>
          <w:sz w:val="32"/>
          <w:highlight w:val="none"/>
        </w:rPr>
        <w:t>知识产权服务机构</w:t>
      </w:r>
      <w:r>
        <w:rPr>
          <w:rFonts w:hint="eastAsia" w:ascii="Times New Roman" w:hAnsi="Times New Roman" w:eastAsia="仿宋_GB2312"/>
          <w:sz w:val="32"/>
          <w:highlight w:val="none"/>
        </w:rPr>
        <w:t>）</w:t>
      </w:r>
      <w:r>
        <w:rPr>
          <w:rFonts w:ascii="Times New Roman" w:hAnsi="Times New Roman" w:eastAsia="仿宋_GB2312"/>
          <w:sz w:val="32"/>
          <w:highlight w:val="none"/>
        </w:rPr>
        <w:t>公章。</w:t>
      </w:r>
    </w:p>
    <w:p w14:paraId="39A7E31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lang w:val="en-US" w:eastAsia="zh-CN"/>
        </w:rPr>
        <w:t>2</w:t>
      </w:r>
      <w:r>
        <w:rPr>
          <w:rFonts w:ascii="Times New Roman" w:hAnsi="Times New Roman" w:eastAsia="仿宋_GB2312"/>
          <w:sz w:val="32"/>
          <w:highlight w:val="none"/>
        </w:rPr>
        <w:t>.申报通过马德里体系申请的国外商标资助的，</w:t>
      </w:r>
      <w:r>
        <w:rPr>
          <w:rFonts w:hint="eastAsia" w:ascii="Times New Roman" w:hAnsi="Times New Roman" w:eastAsia="仿宋_GB2312"/>
          <w:sz w:val="32"/>
          <w:highlight w:val="none"/>
        </w:rPr>
        <w:t>其</w:t>
      </w:r>
      <w:r>
        <w:rPr>
          <w:rFonts w:ascii="Times New Roman" w:hAnsi="Times New Roman" w:eastAsia="仿宋_GB2312"/>
          <w:sz w:val="32"/>
          <w:highlight w:val="none"/>
        </w:rPr>
        <w:t>基础商标必须为</w:t>
      </w:r>
      <w:r>
        <w:rPr>
          <w:rFonts w:hint="eastAsia" w:ascii="Times New Roman" w:hAnsi="Times New Roman" w:eastAsia="仿宋_GB2312"/>
          <w:sz w:val="32"/>
          <w:highlight w:val="none"/>
        </w:rPr>
        <w:t>国内</w:t>
      </w:r>
      <w:r>
        <w:rPr>
          <w:rFonts w:ascii="Times New Roman" w:hAnsi="Times New Roman" w:eastAsia="仿宋_GB2312"/>
          <w:sz w:val="32"/>
          <w:highlight w:val="none"/>
        </w:rPr>
        <w:t>商标</w:t>
      </w:r>
      <w:r>
        <w:rPr>
          <w:rFonts w:hint="eastAsia" w:ascii="Times New Roman" w:hAnsi="Times New Roman" w:eastAsia="仿宋_GB2312"/>
          <w:sz w:val="32"/>
          <w:highlight w:val="none"/>
        </w:rPr>
        <w:t>，并</w:t>
      </w:r>
      <w:r>
        <w:rPr>
          <w:rFonts w:ascii="Times New Roman" w:hAnsi="Times New Roman" w:eastAsia="仿宋_GB2312"/>
          <w:sz w:val="32"/>
          <w:highlight w:val="none"/>
        </w:rPr>
        <w:t>按照</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申报系统要求选择商标申请途径，准确填写国内、外商标注册信息；</w:t>
      </w:r>
    </w:p>
    <w:p w14:paraId="421550A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申报通过马德里体系以外的其他途径申请的国外商标资助的，除应按照</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申报系统要求进行选择、填写外，还应上传附件，附件1</w:t>
      </w:r>
      <w:r>
        <w:rPr>
          <w:rFonts w:hint="eastAsia" w:ascii="Times New Roman" w:hAnsi="Times New Roman" w:eastAsia="仿宋_GB2312"/>
          <w:sz w:val="32"/>
          <w:highlight w:val="none"/>
        </w:rPr>
        <w:t>处</w:t>
      </w:r>
      <w:r>
        <w:rPr>
          <w:rFonts w:ascii="Times New Roman" w:hAnsi="Times New Roman" w:eastAsia="仿宋_GB2312"/>
          <w:sz w:val="32"/>
          <w:highlight w:val="none"/>
        </w:rPr>
        <w:t>上传注册国家或者地区颁发的商标注册证书或注册公告电子版，商标注册证书或注册公告应完整无缺漏，</w:t>
      </w:r>
      <w:r>
        <w:rPr>
          <w:rFonts w:hint="eastAsia" w:ascii="Times New Roman" w:hAnsi="Times New Roman" w:eastAsia="仿宋_GB2312"/>
          <w:sz w:val="32"/>
          <w:highlight w:val="none"/>
        </w:rPr>
        <w:t>并</w:t>
      </w:r>
      <w:r>
        <w:rPr>
          <w:rFonts w:ascii="Times New Roman" w:hAnsi="Times New Roman" w:eastAsia="仿宋_GB2312"/>
          <w:sz w:val="32"/>
          <w:highlight w:val="none"/>
        </w:rPr>
        <w:t>以下划线方式标注商标注册人名称、注册国家、注册证号码、商标类别、商标注册日或签发日</w:t>
      </w:r>
      <w:r>
        <w:rPr>
          <w:rFonts w:hint="eastAsia" w:ascii="Times New Roman" w:hAnsi="Times New Roman" w:eastAsia="仿宋_GB2312"/>
          <w:sz w:val="32"/>
          <w:highlight w:val="none"/>
        </w:rPr>
        <w:t>。</w:t>
      </w:r>
      <w:r>
        <w:rPr>
          <w:rFonts w:ascii="Times New Roman" w:hAnsi="Times New Roman" w:eastAsia="仿宋_GB2312"/>
          <w:sz w:val="32"/>
          <w:highlight w:val="none"/>
        </w:rPr>
        <w:t>如商标注册证书未体现商标注册类别或商标获得批准时间，应补充提供该国商标主管部门官</w:t>
      </w:r>
      <w:r>
        <w:rPr>
          <w:rFonts w:hint="eastAsia" w:ascii="Times New Roman" w:hAnsi="Times New Roman" w:eastAsia="仿宋_GB2312"/>
          <w:sz w:val="32"/>
          <w:highlight w:val="none"/>
        </w:rPr>
        <w:t>方</w:t>
      </w:r>
      <w:r>
        <w:rPr>
          <w:rFonts w:ascii="Times New Roman" w:hAnsi="Times New Roman" w:eastAsia="仿宋_GB2312"/>
          <w:sz w:val="32"/>
          <w:highlight w:val="none"/>
        </w:rPr>
        <w:t>网站的查询截图</w:t>
      </w:r>
      <w:r>
        <w:rPr>
          <w:rFonts w:hint="eastAsia" w:ascii="Times New Roman" w:hAnsi="Times New Roman" w:eastAsia="仿宋_GB2312"/>
          <w:sz w:val="32"/>
          <w:highlight w:val="none"/>
        </w:rPr>
        <w:t>。</w:t>
      </w:r>
      <w:r>
        <w:rPr>
          <w:rFonts w:ascii="Times New Roman" w:hAnsi="Times New Roman" w:eastAsia="仿宋_GB2312"/>
          <w:sz w:val="32"/>
          <w:highlight w:val="none"/>
        </w:rPr>
        <w:t>非英语国家的商标注册证</w:t>
      </w:r>
      <w:r>
        <w:rPr>
          <w:rFonts w:hint="eastAsia" w:ascii="Times New Roman" w:hAnsi="Times New Roman" w:eastAsia="仿宋_GB2312"/>
          <w:sz w:val="32"/>
          <w:highlight w:val="none"/>
        </w:rPr>
        <w:t>书</w:t>
      </w:r>
      <w:r>
        <w:rPr>
          <w:rFonts w:ascii="Times New Roman" w:hAnsi="Times New Roman" w:eastAsia="仿宋_GB2312"/>
          <w:sz w:val="32"/>
          <w:highlight w:val="none"/>
        </w:rPr>
        <w:t>还应在附件2处上</w:t>
      </w:r>
      <w:r>
        <w:rPr>
          <w:rFonts w:hint="eastAsia" w:ascii="Times New Roman" w:hAnsi="Times New Roman" w:eastAsia="仿宋_GB2312"/>
          <w:sz w:val="32"/>
          <w:highlight w:val="none"/>
        </w:rPr>
        <w:t>传</w:t>
      </w:r>
      <w:r>
        <w:rPr>
          <w:rFonts w:ascii="Times New Roman" w:hAnsi="Times New Roman" w:eastAsia="仿宋_GB2312"/>
          <w:sz w:val="32"/>
          <w:highlight w:val="none"/>
        </w:rPr>
        <w:t>附件1</w:t>
      </w:r>
      <w:r>
        <w:rPr>
          <w:rFonts w:hint="eastAsia" w:ascii="Times New Roman" w:hAnsi="Times New Roman" w:eastAsia="仿宋_GB2312"/>
          <w:sz w:val="32"/>
          <w:highlight w:val="none"/>
        </w:rPr>
        <w:t>对应</w:t>
      </w:r>
      <w:r>
        <w:rPr>
          <w:rFonts w:ascii="Times New Roman" w:hAnsi="Times New Roman" w:eastAsia="仿宋_GB2312"/>
          <w:sz w:val="32"/>
          <w:highlight w:val="none"/>
        </w:rPr>
        <w:t>的中文译文，每份中文译文</w:t>
      </w:r>
      <w:r>
        <w:rPr>
          <w:rFonts w:hint="eastAsia" w:ascii="Times New Roman" w:hAnsi="Times New Roman" w:eastAsia="仿宋_GB2312"/>
          <w:sz w:val="32"/>
          <w:highlight w:val="none"/>
        </w:rPr>
        <w:t>均</w:t>
      </w:r>
      <w:r>
        <w:rPr>
          <w:rFonts w:ascii="Times New Roman" w:hAnsi="Times New Roman" w:eastAsia="仿宋_GB2312"/>
          <w:sz w:val="32"/>
          <w:highlight w:val="none"/>
        </w:rPr>
        <w:t>需加盖申请人公章或翻译机构</w:t>
      </w:r>
      <w:r>
        <w:rPr>
          <w:rFonts w:hint="eastAsia" w:ascii="Times New Roman" w:hAnsi="Times New Roman" w:eastAsia="仿宋_GB2312"/>
          <w:sz w:val="32"/>
          <w:highlight w:val="none"/>
        </w:rPr>
        <w:t>（含</w:t>
      </w:r>
      <w:r>
        <w:rPr>
          <w:rFonts w:ascii="Times New Roman" w:hAnsi="Times New Roman" w:eastAsia="仿宋_GB2312"/>
          <w:sz w:val="32"/>
          <w:highlight w:val="none"/>
        </w:rPr>
        <w:t>知识产权服务机构</w:t>
      </w:r>
      <w:r>
        <w:rPr>
          <w:rFonts w:hint="eastAsia" w:ascii="Times New Roman" w:hAnsi="Times New Roman" w:eastAsia="仿宋_GB2312"/>
          <w:sz w:val="32"/>
          <w:highlight w:val="none"/>
        </w:rPr>
        <w:t>）</w:t>
      </w:r>
      <w:r>
        <w:rPr>
          <w:rFonts w:ascii="Times New Roman" w:hAnsi="Times New Roman" w:eastAsia="仿宋_GB2312"/>
          <w:sz w:val="32"/>
          <w:highlight w:val="none"/>
        </w:rPr>
        <w:t>公章。</w:t>
      </w:r>
    </w:p>
    <w:p w14:paraId="2DA92070">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ascii="Times New Roman" w:hAnsi="Times New Roman"/>
          <w:highlight w:val="none"/>
        </w:rPr>
      </w:pPr>
      <w:r>
        <w:rPr>
          <w:rFonts w:ascii="Times New Roman" w:hAnsi="Times New Roman"/>
          <w:highlight w:val="none"/>
        </w:rPr>
        <w:t>商标注册日（或签发日）的确定：</w:t>
      </w:r>
    </w:p>
    <w:p w14:paraId="36DFB56F">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ascii="Times New Roman" w:hAnsi="Times New Roman"/>
          <w:highlight w:val="none"/>
        </w:rPr>
      </w:pPr>
      <w:r>
        <w:rPr>
          <w:rFonts w:ascii="Times New Roman" w:hAnsi="Times New Roman"/>
          <w:highlight w:val="none"/>
        </w:rPr>
        <w:t>（1）商标申请途径为马德里体系途径的，以注册国家或者地区的核准注册日（“Statement of grant of protection”中的“Publication number and date”项目对应的日期）为准；获得注册的商标没有“Statement of grant of protection”项目的，或是通过马德里体系途径后期指定程序获得注册的国家或者地区没有“Statement of grant of protection”项目的，根据所指定国家或者地区，以“</w:t>
      </w:r>
      <w:r>
        <w:rPr>
          <w:rFonts w:hint="eastAsia" w:ascii="Times New Roman" w:hAnsi="Times New Roman"/>
        </w:rPr>
        <w:t>Date of notification by the International Bureau to the designated Contracting Parties (from which the time limit to notify the refusal starts)</w:t>
      </w:r>
      <w:r>
        <w:rPr>
          <w:rFonts w:ascii="Times New Roman" w:hAnsi="Times New Roman"/>
          <w:highlight w:val="none"/>
        </w:rPr>
        <w:t>”项目对应的日期推算指定国家注册日期，双重缔约方的推算方法为上述日期增加12个月，纯议定书缔约方的推算方法为上述日期增加18个月。</w:t>
      </w:r>
    </w:p>
    <w:p w14:paraId="5DE0F67B">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Times New Roman" w:hAnsi="Times New Roman"/>
          <w:highlight w:val="none"/>
        </w:rPr>
      </w:pPr>
      <w:r>
        <w:rPr>
          <w:rFonts w:ascii="Times New Roman" w:hAnsi="Times New Roman"/>
          <w:highlight w:val="none"/>
        </w:rPr>
        <w:t>（2）商标申请途径为马德里体系以外的其他途径的，网上公开商标注册（或签发）日期和纸质商标注册文件所记载的日期不一致的情况下，以</w:t>
      </w:r>
      <w:r>
        <w:rPr>
          <w:rFonts w:hint="eastAsia" w:ascii="Times New Roman" w:hAnsi="Times New Roman"/>
          <w:highlight w:val="none"/>
        </w:rPr>
        <w:t>在后</w:t>
      </w:r>
      <w:r>
        <w:rPr>
          <w:rFonts w:ascii="Times New Roman" w:hAnsi="Times New Roman"/>
          <w:highlight w:val="none"/>
        </w:rPr>
        <w:t>日期为准；商标注册文件所记载的注册日期和签发日期不一致的情况下，以</w:t>
      </w:r>
      <w:r>
        <w:rPr>
          <w:rFonts w:hint="eastAsia" w:ascii="Times New Roman" w:hAnsi="Times New Roman"/>
          <w:highlight w:val="none"/>
        </w:rPr>
        <w:t>在后日期</w:t>
      </w:r>
      <w:r>
        <w:rPr>
          <w:rFonts w:ascii="Times New Roman" w:hAnsi="Times New Roman"/>
          <w:highlight w:val="none"/>
        </w:rPr>
        <w:t>为准。</w:t>
      </w:r>
      <w:r>
        <w:rPr>
          <w:rFonts w:hint="eastAsia" w:ascii="Times New Roman" w:hAnsi="Times New Roman"/>
          <w:highlight w:val="none"/>
        </w:rPr>
        <w:tab/>
      </w:r>
    </w:p>
    <w:p w14:paraId="5A894E63">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ascii="Times New Roman" w:hAnsi="Times New Roman"/>
          <w:highlight w:val="none"/>
        </w:rPr>
      </w:pPr>
      <w:r>
        <w:rPr>
          <w:rFonts w:hint="eastAsia" w:ascii="Times New Roman" w:hAnsi="Times New Roman"/>
          <w:highlight w:val="none"/>
          <w:lang w:val="en-US" w:eastAsia="zh-CN"/>
        </w:rPr>
        <w:t>3</w:t>
      </w:r>
      <w:r>
        <w:rPr>
          <w:rFonts w:ascii="Times New Roman" w:hAnsi="Times New Roman"/>
          <w:highlight w:val="none"/>
        </w:rPr>
        <w:t>.申报知识产权使用费出口资助的，根据网上申报系统提示选择相应的资助项目提交申报，不符合申报条件的单位无法申报。</w:t>
      </w:r>
      <w:r>
        <w:rPr>
          <w:rFonts w:hint="eastAsia"/>
          <w:highlight w:val="none"/>
        </w:rPr>
        <w:t>申报前可联系</w:t>
      </w:r>
      <w:r>
        <w:rPr>
          <w:rFonts w:ascii="Times New Roman" w:hAnsi="Times New Roman"/>
          <w:kern w:val="0"/>
          <w:szCs w:val="32"/>
          <w:highlight w:val="none"/>
        </w:rPr>
        <w:t>北京</w:t>
      </w:r>
      <w:r>
        <w:rPr>
          <w:rFonts w:hint="eastAsia" w:ascii="Times New Roman" w:hAnsi="Times New Roman"/>
          <w:kern w:val="0"/>
          <w:szCs w:val="32"/>
          <w:highlight w:val="none"/>
        </w:rPr>
        <w:t>市</w:t>
      </w:r>
      <w:r>
        <w:rPr>
          <w:rFonts w:ascii="Times New Roman" w:hAnsi="Times New Roman"/>
          <w:kern w:val="0"/>
          <w:szCs w:val="32"/>
          <w:highlight w:val="none"/>
        </w:rPr>
        <w:t>知识产权保护中心</w:t>
      </w:r>
      <w:r>
        <w:rPr>
          <w:rFonts w:hint="eastAsia" w:ascii="Times New Roman" w:hAnsi="Times New Roman"/>
          <w:kern w:val="0"/>
          <w:szCs w:val="32"/>
          <w:highlight w:val="none"/>
        </w:rPr>
        <w:t>工作人员进行</w:t>
      </w:r>
      <w:r>
        <w:rPr>
          <w:rFonts w:hint="eastAsia"/>
          <w:highlight w:val="none"/>
        </w:rPr>
        <w:t>咨询。</w:t>
      </w:r>
    </w:p>
    <w:p w14:paraId="2F5BF97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lang w:val="en-US" w:eastAsia="zh-CN"/>
        </w:rPr>
        <w:t>4</w:t>
      </w:r>
      <w:r>
        <w:rPr>
          <w:rFonts w:hint="eastAsia" w:ascii="Times New Roman" w:hAnsi="Times New Roman" w:eastAsia="仿宋_GB2312"/>
          <w:sz w:val="32"/>
          <w:highlight w:val="none"/>
        </w:rPr>
        <w:t>.</w:t>
      </w:r>
      <w:r>
        <w:rPr>
          <w:rFonts w:ascii="Times New Roman" w:hAnsi="Times New Roman" w:eastAsia="仿宋_GB2312"/>
          <w:sz w:val="32"/>
          <w:highlight w:val="none"/>
        </w:rPr>
        <w:t>申请人在完整填写或选择资助信息后方可提交</w:t>
      </w:r>
      <w:r>
        <w:rPr>
          <w:rFonts w:hint="eastAsia" w:ascii="Times New Roman" w:hAnsi="Times New Roman" w:eastAsia="仿宋_GB2312"/>
          <w:sz w:val="32"/>
          <w:highlight w:val="none"/>
        </w:rPr>
        <w:t>资助</w:t>
      </w:r>
      <w:r>
        <w:rPr>
          <w:rFonts w:ascii="Times New Roman" w:hAnsi="Times New Roman" w:eastAsia="仿宋_GB2312"/>
          <w:sz w:val="32"/>
          <w:highlight w:val="none"/>
        </w:rPr>
        <w:t>申报，</w:t>
      </w:r>
      <w:r>
        <w:rPr>
          <w:rFonts w:hint="eastAsia" w:ascii="Times New Roman" w:hAnsi="Times New Roman" w:eastAsia="仿宋_GB2312"/>
          <w:sz w:val="32"/>
          <w:highlight w:val="none"/>
        </w:rPr>
        <w:t>未按照要求规范填写的</w:t>
      </w:r>
      <w:r>
        <w:rPr>
          <w:rFonts w:ascii="Times New Roman" w:hAnsi="Times New Roman" w:eastAsia="仿宋_GB2312"/>
          <w:sz w:val="32"/>
          <w:highlight w:val="none"/>
        </w:rPr>
        <w:t>视为未提交申报。</w:t>
      </w:r>
    </w:p>
    <w:p w14:paraId="65C934C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楷体_GB2312"/>
          <w:sz w:val="32"/>
          <w:highlight w:val="none"/>
        </w:rPr>
      </w:pPr>
      <w:r>
        <w:rPr>
          <w:rFonts w:ascii="Times New Roman" w:hAnsi="Times New Roman" w:eastAsia="楷体_GB2312"/>
          <w:sz w:val="32"/>
          <w:highlight w:val="none"/>
        </w:rPr>
        <w:t>（二）网上初核</w:t>
      </w:r>
    </w:p>
    <w:p w14:paraId="62D9E5E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1.资助金申报受理后，申请人可以通过</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申报系统实时掌握审核进度，并能够在进入网上初核阶段前撤回申报，重新修改提交。</w:t>
      </w:r>
    </w:p>
    <w:p w14:paraId="314B1CE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2.市知识产权局授权的资助金审核单位（简</w:t>
      </w:r>
      <w:r>
        <w:rPr>
          <w:rFonts w:hint="eastAsia" w:ascii="仿宋_GB2312" w:hAnsi="仿宋_GB2312" w:eastAsia="仿宋_GB2312" w:cs="仿宋_GB2312"/>
          <w:sz w:val="32"/>
          <w:highlight w:val="none"/>
        </w:rPr>
        <w:t>称“审核单位”</w:t>
      </w:r>
      <w:r>
        <w:rPr>
          <w:rFonts w:ascii="Times New Roman" w:hAnsi="Times New Roman" w:eastAsia="仿宋_GB2312"/>
          <w:sz w:val="32"/>
          <w:highlight w:val="none"/>
        </w:rPr>
        <w:t>）负责对申请人提交的资助金申报信息进行网上初核，主要核查申请人身份信息的真实性</w:t>
      </w:r>
      <w:r>
        <w:rPr>
          <w:rFonts w:hint="eastAsia" w:ascii="Times New Roman" w:hAnsi="Times New Roman" w:eastAsia="仿宋_GB2312"/>
          <w:sz w:val="32"/>
          <w:highlight w:val="none"/>
        </w:rPr>
        <w:t>，以及</w:t>
      </w:r>
      <w:r>
        <w:rPr>
          <w:rFonts w:ascii="Times New Roman" w:hAnsi="Times New Roman" w:eastAsia="仿宋_GB2312"/>
          <w:sz w:val="32"/>
          <w:highlight w:val="none"/>
        </w:rPr>
        <w:t>受资助专利或商标信息的准确性，</w:t>
      </w:r>
      <w:r>
        <w:rPr>
          <w:rFonts w:hint="eastAsia" w:ascii="Times New Roman" w:hAnsi="Times New Roman" w:eastAsia="仿宋_GB2312"/>
          <w:sz w:val="32"/>
          <w:highlight w:val="none"/>
        </w:rPr>
        <w:t>初核结果</w:t>
      </w:r>
      <w:r>
        <w:rPr>
          <w:rFonts w:hint="eastAsia" w:ascii="Times New Roman" w:hAnsi="Times New Roman" w:eastAsia="仿宋_GB2312"/>
          <w:sz w:val="32"/>
          <w:highlight w:val="none"/>
          <w:lang w:val="en-US" w:eastAsia="zh-CN"/>
        </w:rPr>
        <w:t>通过系统反馈</w:t>
      </w:r>
      <w:r>
        <w:rPr>
          <w:rFonts w:ascii="Times New Roman" w:hAnsi="Times New Roman" w:eastAsia="仿宋_GB2312"/>
          <w:sz w:val="32"/>
          <w:highlight w:val="none"/>
        </w:rPr>
        <w:t>申请人</w:t>
      </w:r>
      <w:r>
        <w:rPr>
          <w:rFonts w:hint="eastAsia" w:ascii="Times New Roman" w:hAnsi="Times New Roman" w:eastAsia="仿宋_GB2312"/>
          <w:sz w:val="32"/>
          <w:highlight w:val="none"/>
        </w:rPr>
        <w:t>（委托申报的</w:t>
      </w:r>
      <w:r>
        <w:rPr>
          <w:rFonts w:hint="eastAsia" w:ascii="Times New Roman" w:hAnsi="Times New Roman" w:eastAsia="仿宋_GB2312"/>
          <w:sz w:val="32"/>
          <w:highlight w:val="none"/>
          <w:lang w:val="en-US" w:eastAsia="zh-CN"/>
        </w:rPr>
        <w:t>反馈</w:t>
      </w:r>
      <w:r>
        <w:rPr>
          <w:rFonts w:hint="eastAsia" w:ascii="Times New Roman" w:hAnsi="Times New Roman" w:eastAsia="仿宋_GB2312"/>
          <w:sz w:val="32"/>
          <w:highlight w:val="none"/>
        </w:rPr>
        <w:t>授权服务机构</w:t>
      </w:r>
      <w:r>
        <w:rPr>
          <w:rFonts w:hint="eastAsia" w:ascii="Times New Roman" w:hAnsi="Times New Roman" w:eastAsia="仿宋_GB2312"/>
          <w:sz w:val="32"/>
          <w:highlight w:val="none"/>
          <w:lang w:eastAsia="zh-CN"/>
        </w:rPr>
        <w:t>，</w:t>
      </w:r>
      <w:r>
        <w:rPr>
          <w:rFonts w:hint="eastAsia" w:ascii="Times New Roman" w:hAnsi="Times New Roman" w:eastAsia="仿宋_GB2312"/>
          <w:sz w:val="32"/>
          <w:highlight w:val="none"/>
          <w:lang w:val="en-US" w:eastAsia="zh-CN"/>
        </w:rPr>
        <w:t>下同</w:t>
      </w:r>
      <w:r>
        <w:rPr>
          <w:rFonts w:hint="eastAsia" w:ascii="Times New Roman" w:hAnsi="Times New Roman" w:eastAsia="仿宋_GB2312"/>
          <w:sz w:val="32"/>
          <w:highlight w:val="none"/>
        </w:rPr>
        <w:t>）</w:t>
      </w:r>
      <w:r>
        <w:rPr>
          <w:rFonts w:ascii="Times New Roman" w:hAnsi="Times New Roman" w:eastAsia="仿宋_GB2312"/>
          <w:sz w:val="32"/>
          <w:highlight w:val="none"/>
        </w:rPr>
        <w:t>。</w:t>
      </w:r>
    </w:p>
    <w:p w14:paraId="0505494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3.申请人</w:t>
      </w:r>
      <w:r>
        <w:rPr>
          <w:rFonts w:hint="eastAsia" w:ascii="Times New Roman" w:hAnsi="Times New Roman" w:eastAsia="仿宋_GB2312"/>
          <w:sz w:val="32"/>
          <w:highlight w:val="none"/>
          <w:lang w:val="en-US" w:eastAsia="zh-CN"/>
        </w:rPr>
        <w:t>应及时查看</w:t>
      </w:r>
      <w:r>
        <w:rPr>
          <w:rFonts w:ascii="Times New Roman" w:hAnsi="Times New Roman" w:eastAsia="仿宋_GB2312"/>
          <w:sz w:val="32"/>
          <w:highlight w:val="none"/>
        </w:rPr>
        <w:t>网上初核</w:t>
      </w:r>
      <w:r>
        <w:rPr>
          <w:rFonts w:hint="eastAsia" w:ascii="Times New Roman" w:hAnsi="Times New Roman" w:eastAsia="仿宋_GB2312"/>
          <w:sz w:val="32"/>
          <w:highlight w:val="none"/>
          <w:lang w:val="en-US" w:eastAsia="zh-CN"/>
        </w:rPr>
        <w:t>结论，收到初核</w:t>
      </w:r>
      <w:r>
        <w:rPr>
          <w:rFonts w:hint="eastAsia" w:ascii="Times New Roman" w:hAnsi="Times New Roman" w:eastAsia="仿宋_GB2312"/>
          <w:sz w:val="32"/>
          <w:highlight w:val="none"/>
        </w:rPr>
        <w:t>不合格</w:t>
      </w:r>
      <w:r>
        <w:rPr>
          <w:rFonts w:hint="eastAsia" w:ascii="Times New Roman" w:hAnsi="Times New Roman" w:eastAsia="仿宋_GB2312"/>
          <w:sz w:val="32"/>
          <w:highlight w:val="none"/>
          <w:lang w:val="en-US" w:eastAsia="zh-CN"/>
        </w:rPr>
        <w:t>反馈的</w:t>
      </w:r>
      <w:r>
        <w:rPr>
          <w:rFonts w:ascii="Times New Roman" w:hAnsi="Times New Roman" w:eastAsia="仿宋_GB2312"/>
          <w:sz w:val="32"/>
          <w:highlight w:val="none"/>
        </w:rPr>
        <w:t>，应根据</w:t>
      </w:r>
      <w:r>
        <w:rPr>
          <w:rFonts w:hint="eastAsia" w:ascii="Times New Roman" w:hAnsi="Times New Roman" w:eastAsia="仿宋_GB2312"/>
          <w:sz w:val="32"/>
          <w:highlight w:val="none"/>
        </w:rPr>
        <w:t>初</w:t>
      </w:r>
      <w:r>
        <w:rPr>
          <w:rFonts w:ascii="Times New Roman" w:hAnsi="Times New Roman" w:eastAsia="仿宋_GB2312"/>
          <w:sz w:val="32"/>
          <w:highlight w:val="none"/>
        </w:rPr>
        <w:t>核意见在规定期限内修改并重新提交申报信息</w:t>
      </w:r>
      <w:r>
        <w:rPr>
          <w:rFonts w:hint="eastAsia" w:ascii="Times New Roman" w:hAnsi="Times New Roman" w:eastAsia="仿宋_GB2312"/>
          <w:sz w:val="32"/>
          <w:highlight w:val="none"/>
        </w:rPr>
        <w:t>；</w:t>
      </w:r>
      <w:r>
        <w:rPr>
          <w:rFonts w:ascii="Times New Roman" w:hAnsi="Times New Roman" w:eastAsia="仿宋_GB2312"/>
          <w:sz w:val="32"/>
          <w:highlight w:val="none"/>
        </w:rPr>
        <w:t>未在期限内重新提交或重新提交后仍不符合要求的，视为放弃申报。</w:t>
      </w:r>
    </w:p>
    <w:p w14:paraId="48BB5E8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楷体_GB2312"/>
          <w:sz w:val="32"/>
          <w:highlight w:val="none"/>
        </w:rPr>
      </w:pPr>
      <w:r>
        <w:rPr>
          <w:rFonts w:ascii="Times New Roman" w:hAnsi="Times New Roman" w:eastAsia="楷体_GB2312"/>
          <w:sz w:val="32"/>
          <w:highlight w:val="none"/>
        </w:rPr>
        <w:t>（三）审核</w:t>
      </w:r>
    </w:p>
    <w:p w14:paraId="48B502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1.专利或商标资助金申报经网上初核合格后，申请人需确认初核结果、下载打印《北京市专利资助金申报表》或《北京市商标资助金申报表》，并加盖单位公章后扫描上传至</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w:t>
      </w:r>
      <w:r>
        <w:rPr>
          <w:rFonts w:hint="eastAsia" w:ascii="Times New Roman" w:hAnsi="Times New Roman" w:eastAsia="仿宋_GB2312"/>
          <w:sz w:val="32"/>
          <w:highlight w:val="none"/>
        </w:rPr>
        <w:t>知识产权使用费出口资助金申报经网上初核合格后，申请人可直接下载打印《北京市知识产权使用费出口资助金申报表》，并加盖单位公章后扫描上传至网上申报系统。</w:t>
      </w:r>
    </w:p>
    <w:p w14:paraId="6F05454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2.申请人应按申报通知所规定的时限在</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申报系统中上传资助金申报表扫描件，申请人上传的各类资助金申报表应打印在A4纸上，彩色扫描</w:t>
      </w:r>
      <w:r>
        <w:rPr>
          <w:rFonts w:hint="eastAsia" w:ascii="Times New Roman" w:hAnsi="Times New Roman" w:eastAsia="仿宋_GB2312"/>
          <w:sz w:val="32"/>
          <w:highlight w:val="none"/>
        </w:rPr>
        <w:t>或拍照（拍照需将整张</w:t>
      </w:r>
      <w:r>
        <w:rPr>
          <w:rFonts w:ascii="Times New Roman" w:hAnsi="Times New Roman" w:eastAsia="仿宋_GB2312"/>
          <w:sz w:val="32"/>
          <w:highlight w:val="none"/>
        </w:rPr>
        <w:t>A4纸</w:t>
      </w:r>
      <w:r>
        <w:rPr>
          <w:rFonts w:hint="eastAsia" w:ascii="Times New Roman" w:hAnsi="Times New Roman" w:eastAsia="仿宋_GB2312"/>
          <w:sz w:val="32"/>
          <w:highlight w:val="none"/>
        </w:rPr>
        <w:t>拍摄完整）</w:t>
      </w:r>
      <w:r>
        <w:rPr>
          <w:rFonts w:ascii="Times New Roman" w:hAnsi="Times New Roman" w:eastAsia="仿宋_GB2312"/>
          <w:sz w:val="32"/>
          <w:highlight w:val="none"/>
        </w:rPr>
        <w:t>，确保页面文字整洁、印章清晰。</w:t>
      </w:r>
    </w:p>
    <w:p w14:paraId="497D60F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3.审核单位负责对申请人上传的资助金申报表扫描件进行审核</w:t>
      </w:r>
      <w:r>
        <w:rPr>
          <w:rFonts w:hint="eastAsia" w:ascii="Times New Roman" w:hAnsi="Times New Roman" w:eastAsia="仿宋_GB2312"/>
          <w:sz w:val="32"/>
          <w:highlight w:val="none"/>
        </w:rPr>
        <w:t>。经</w:t>
      </w:r>
      <w:r>
        <w:rPr>
          <w:rFonts w:ascii="Times New Roman" w:hAnsi="Times New Roman" w:eastAsia="仿宋_GB2312"/>
          <w:sz w:val="32"/>
          <w:highlight w:val="none"/>
        </w:rPr>
        <w:t>扫描件审核</w:t>
      </w:r>
      <w:r>
        <w:rPr>
          <w:rFonts w:hint="eastAsia" w:ascii="Times New Roman" w:hAnsi="Times New Roman" w:eastAsia="仿宋_GB2312"/>
          <w:sz w:val="32"/>
          <w:highlight w:val="none"/>
        </w:rPr>
        <w:t>不合格</w:t>
      </w:r>
      <w:r>
        <w:rPr>
          <w:rFonts w:ascii="Times New Roman" w:hAnsi="Times New Roman" w:eastAsia="仿宋_GB2312"/>
          <w:sz w:val="32"/>
          <w:highlight w:val="none"/>
        </w:rPr>
        <w:t>的申请人，应根据审核意见在规定期限内修改并重新</w:t>
      </w:r>
      <w:r>
        <w:rPr>
          <w:rFonts w:hint="eastAsia" w:ascii="Times New Roman" w:hAnsi="Times New Roman" w:eastAsia="仿宋_GB2312"/>
          <w:sz w:val="32"/>
          <w:highlight w:val="none"/>
        </w:rPr>
        <w:t>上传</w:t>
      </w:r>
      <w:r>
        <w:rPr>
          <w:rFonts w:ascii="Times New Roman" w:hAnsi="Times New Roman" w:eastAsia="仿宋_GB2312"/>
          <w:sz w:val="32"/>
          <w:highlight w:val="none"/>
        </w:rPr>
        <w:t>资助金申报表扫描件；未在规定期限内重新</w:t>
      </w:r>
      <w:r>
        <w:rPr>
          <w:rFonts w:hint="eastAsia" w:ascii="Times New Roman" w:hAnsi="Times New Roman" w:eastAsia="仿宋_GB2312"/>
          <w:sz w:val="32"/>
          <w:highlight w:val="none"/>
        </w:rPr>
        <w:t>上传</w:t>
      </w:r>
      <w:r>
        <w:rPr>
          <w:rFonts w:ascii="Times New Roman" w:hAnsi="Times New Roman" w:eastAsia="仿宋_GB2312"/>
          <w:sz w:val="32"/>
          <w:highlight w:val="none"/>
        </w:rPr>
        <w:t>或重新</w:t>
      </w:r>
      <w:r>
        <w:rPr>
          <w:rFonts w:hint="eastAsia" w:ascii="Times New Roman" w:hAnsi="Times New Roman" w:eastAsia="仿宋_GB2312"/>
          <w:sz w:val="32"/>
          <w:highlight w:val="none"/>
        </w:rPr>
        <w:t>上传</w:t>
      </w:r>
      <w:r>
        <w:rPr>
          <w:rFonts w:ascii="Times New Roman" w:hAnsi="Times New Roman" w:eastAsia="仿宋_GB2312"/>
          <w:sz w:val="32"/>
          <w:highlight w:val="none"/>
        </w:rPr>
        <w:t>后仍不符合要求的，视为放弃申报。</w:t>
      </w:r>
    </w:p>
    <w:p w14:paraId="74DD7C1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highlight w:val="none"/>
        </w:rPr>
      </w:pPr>
      <w:r>
        <w:rPr>
          <w:rFonts w:ascii="Times New Roman" w:hAnsi="Times New Roman" w:eastAsia="楷体_GB2312"/>
          <w:sz w:val="32"/>
          <w:highlight w:val="none"/>
        </w:rPr>
        <w:t>4</w:t>
      </w:r>
      <w:r>
        <w:rPr>
          <w:rFonts w:ascii="Times New Roman" w:hAnsi="Times New Roman" w:eastAsia="仿宋_GB2312"/>
          <w:sz w:val="32"/>
          <w:highlight w:val="none"/>
        </w:rPr>
        <w:t>.审核单位</w:t>
      </w:r>
      <w:r>
        <w:rPr>
          <w:rFonts w:hint="eastAsia" w:ascii="Times New Roman" w:hAnsi="Times New Roman" w:eastAsia="仿宋_GB2312"/>
          <w:sz w:val="32"/>
          <w:highlight w:val="none"/>
        </w:rPr>
        <w:t>对</w:t>
      </w:r>
      <w:r>
        <w:rPr>
          <w:rFonts w:ascii="Times New Roman" w:hAnsi="Times New Roman" w:eastAsia="仿宋_GB2312"/>
          <w:sz w:val="32"/>
          <w:highlight w:val="none"/>
        </w:rPr>
        <w:t>扫描件审核</w:t>
      </w:r>
      <w:r>
        <w:rPr>
          <w:rFonts w:hint="eastAsia" w:ascii="Times New Roman" w:hAnsi="Times New Roman" w:eastAsia="仿宋_GB2312"/>
          <w:sz w:val="32"/>
          <w:highlight w:val="none"/>
        </w:rPr>
        <w:t>合格的申请人及其提交的</w:t>
      </w:r>
      <w:r>
        <w:rPr>
          <w:rFonts w:ascii="Times New Roman" w:hAnsi="Times New Roman" w:eastAsia="仿宋_GB2312"/>
          <w:sz w:val="32"/>
          <w:highlight w:val="none"/>
        </w:rPr>
        <w:t>资助金申报信息进行</w:t>
      </w:r>
      <w:r>
        <w:rPr>
          <w:rFonts w:hint="eastAsia" w:ascii="Times New Roman" w:hAnsi="Times New Roman" w:eastAsia="仿宋_GB2312"/>
          <w:sz w:val="32"/>
          <w:highlight w:val="none"/>
        </w:rPr>
        <w:t>正式</w:t>
      </w:r>
      <w:r>
        <w:rPr>
          <w:rFonts w:ascii="Times New Roman" w:hAnsi="Times New Roman" w:eastAsia="仿宋_GB2312"/>
          <w:sz w:val="32"/>
          <w:highlight w:val="none"/>
        </w:rPr>
        <w:t>审核</w:t>
      </w:r>
      <w:r>
        <w:rPr>
          <w:rFonts w:hint="eastAsia" w:ascii="Times New Roman" w:hAnsi="Times New Roman" w:eastAsia="仿宋_GB2312"/>
          <w:sz w:val="32"/>
          <w:highlight w:val="none"/>
        </w:rPr>
        <w:t>，对不符合</w:t>
      </w:r>
      <w:r>
        <w:rPr>
          <w:rFonts w:ascii="Times New Roman" w:hAnsi="Times New Roman" w:eastAsia="仿宋_GB2312"/>
          <w:sz w:val="32"/>
          <w:highlight w:val="none"/>
        </w:rPr>
        <w:t>《北京市知识产权资助金管理办法》</w:t>
      </w:r>
      <w:r>
        <w:rPr>
          <w:rFonts w:hint="eastAsia" w:ascii="Times New Roman" w:hAnsi="Times New Roman" w:eastAsia="仿宋_GB2312"/>
          <w:sz w:val="32"/>
          <w:highlight w:val="none"/>
        </w:rPr>
        <w:t>资助对象和范围要求的申请人主体或各类知识产权客体予以驳回，并</w:t>
      </w:r>
      <w:r>
        <w:rPr>
          <w:rFonts w:hint="eastAsia" w:ascii="Times New Roman" w:hAnsi="Times New Roman" w:eastAsia="仿宋_GB2312"/>
          <w:sz w:val="32"/>
          <w:highlight w:val="none"/>
          <w:lang w:val="en-US" w:eastAsia="zh-CN"/>
        </w:rPr>
        <w:t>系统反馈</w:t>
      </w:r>
      <w:r>
        <w:rPr>
          <w:rFonts w:hint="eastAsia" w:ascii="Times New Roman" w:hAnsi="Times New Roman" w:eastAsia="仿宋_GB2312"/>
          <w:sz w:val="32"/>
          <w:highlight w:val="none"/>
        </w:rPr>
        <w:t>申请人</w:t>
      </w:r>
      <w:r>
        <w:rPr>
          <w:rFonts w:ascii="Times New Roman" w:hAnsi="Times New Roman" w:eastAsia="仿宋_GB2312"/>
          <w:sz w:val="32"/>
          <w:highlight w:val="none"/>
        </w:rPr>
        <w:t>。</w:t>
      </w:r>
    </w:p>
    <w:p w14:paraId="5CF9151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highlight w:val="none"/>
        </w:rPr>
      </w:pPr>
      <w:r>
        <w:rPr>
          <w:rFonts w:ascii="Times New Roman" w:hAnsi="Times New Roman" w:eastAsia="仿宋_GB2312"/>
          <w:sz w:val="32"/>
          <w:highlight w:val="none"/>
        </w:rPr>
        <w:t>5.第三方知识产权</w:t>
      </w:r>
      <w:r>
        <w:rPr>
          <w:rFonts w:hint="eastAsia" w:ascii="Times New Roman" w:hAnsi="Times New Roman" w:eastAsia="仿宋_GB2312"/>
          <w:sz w:val="32"/>
          <w:highlight w:val="none"/>
        </w:rPr>
        <w:t>专业</w:t>
      </w:r>
      <w:r>
        <w:rPr>
          <w:rFonts w:ascii="Times New Roman" w:hAnsi="Times New Roman" w:eastAsia="仿宋_GB2312"/>
          <w:sz w:val="32"/>
          <w:highlight w:val="none"/>
        </w:rPr>
        <w:t>机构</w:t>
      </w:r>
      <w:r>
        <w:rPr>
          <w:rFonts w:hint="eastAsia" w:ascii="Times New Roman" w:hAnsi="Times New Roman" w:eastAsia="仿宋_GB2312"/>
          <w:sz w:val="32"/>
          <w:highlight w:val="none"/>
        </w:rPr>
        <w:t>负责配合</w:t>
      </w:r>
      <w:r>
        <w:rPr>
          <w:rFonts w:ascii="Times New Roman" w:hAnsi="Times New Roman" w:eastAsia="仿宋_GB2312"/>
          <w:sz w:val="32"/>
          <w:highlight w:val="none"/>
        </w:rPr>
        <w:t>审核单位</w:t>
      </w:r>
      <w:r>
        <w:rPr>
          <w:rFonts w:hint="eastAsia" w:ascii="Times New Roman" w:hAnsi="Times New Roman" w:eastAsia="仿宋_GB2312"/>
          <w:sz w:val="32"/>
          <w:highlight w:val="none"/>
        </w:rPr>
        <w:t>，对已受理的</w:t>
      </w:r>
      <w:r>
        <w:rPr>
          <w:rFonts w:ascii="Times New Roman" w:hAnsi="Times New Roman" w:eastAsia="仿宋_GB2312"/>
          <w:sz w:val="32"/>
          <w:highlight w:val="none"/>
        </w:rPr>
        <w:t>资助金申报信息进行独立协助审核。审核单位</w:t>
      </w:r>
      <w:r>
        <w:rPr>
          <w:rFonts w:hint="eastAsia" w:ascii="Times New Roman" w:hAnsi="Times New Roman" w:eastAsia="仿宋_GB2312"/>
          <w:sz w:val="32"/>
          <w:highlight w:val="none"/>
        </w:rPr>
        <w:t>的审核结论将与</w:t>
      </w:r>
      <w:r>
        <w:rPr>
          <w:rFonts w:ascii="Times New Roman" w:hAnsi="Times New Roman" w:eastAsia="仿宋_GB2312"/>
          <w:sz w:val="32"/>
          <w:highlight w:val="none"/>
        </w:rPr>
        <w:t>第三方协助审核结论</w:t>
      </w:r>
      <w:r>
        <w:rPr>
          <w:rFonts w:hint="eastAsia" w:ascii="Times New Roman" w:hAnsi="Times New Roman" w:eastAsia="仿宋_GB2312"/>
          <w:sz w:val="32"/>
          <w:highlight w:val="none"/>
        </w:rPr>
        <w:t>进行互相比对</w:t>
      </w:r>
      <w:r>
        <w:rPr>
          <w:rFonts w:ascii="Times New Roman" w:hAnsi="Times New Roman" w:eastAsia="仿宋_GB2312"/>
          <w:sz w:val="32"/>
          <w:highlight w:val="none"/>
        </w:rPr>
        <w:t>，</w:t>
      </w:r>
      <w:r>
        <w:rPr>
          <w:rFonts w:hint="eastAsia" w:ascii="Times New Roman" w:hAnsi="Times New Roman" w:eastAsia="仿宋_GB2312"/>
          <w:sz w:val="32"/>
          <w:highlight w:val="none"/>
        </w:rPr>
        <w:t>比对通过的审核结论作为最终审核结论，比对未通过的审核结论经双方重新核验并确认一致后作为最终审核结论。</w:t>
      </w:r>
      <w:r>
        <w:rPr>
          <w:rFonts w:ascii="Times New Roman" w:hAnsi="Times New Roman" w:eastAsia="仿宋_GB2312"/>
          <w:sz w:val="32"/>
          <w:highlight w:val="none"/>
        </w:rPr>
        <w:t>审核单位根据</w:t>
      </w:r>
      <w:r>
        <w:rPr>
          <w:rFonts w:hint="eastAsia" w:ascii="Times New Roman" w:hAnsi="Times New Roman" w:eastAsia="仿宋_GB2312"/>
          <w:sz w:val="32"/>
          <w:highlight w:val="none"/>
        </w:rPr>
        <w:t>最终审核结论</w:t>
      </w:r>
      <w:r>
        <w:rPr>
          <w:rFonts w:ascii="Times New Roman" w:hAnsi="Times New Roman" w:eastAsia="仿宋_GB2312"/>
          <w:sz w:val="32"/>
          <w:highlight w:val="none"/>
        </w:rPr>
        <w:t>制定资助金发放名单。</w:t>
      </w:r>
      <w:r>
        <w:rPr>
          <w:rFonts w:ascii="Times New Roman" w:hAnsi="Times New Roman" w:eastAsia="仿宋_GB2312"/>
          <w:sz w:val="32"/>
          <w:highlight w:val="none"/>
        </w:rPr>
        <w:fldChar w:fldCharType="begin"/>
      </w:r>
      <w:r>
        <w:rPr>
          <w:rFonts w:ascii="Times New Roman" w:hAnsi="Times New Roman" w:eastAsia="仿宋_GB2312"/>
          <w:sz w:val="32"/>
          <w:highlight w:val="none"/>
        </w:rPr>
        <w:instrText xml:space="preserve"> HYPERLINK "http://zscqj.beijing.gov.cn/）向社会公示，公示期不少于5个工作日。公示期间，审核单位将对申请人的信用情况、知识产权权属情况、法律状态情况进行筛查，对与复核结果不一致且不符合资助条件的申请人或资助项目，《北京市知识产权资助金管理办法（试行）》第十四条"</w:instrText>
      </w:r>
      <w:r>
        <w:rPr>
          <w:rFonts w:ascii="Times New Roman" w:hAnsi="Times New Roman" w:eastAsia="仿宋_GB2312"/>
          <w:sz w:val="32"/>
          <w:highlight w:val="none"/>
        </w:rPr>
        <w:fldChar w:fldCharType="separate"/>
      </w:r>
    </w:p>
    <w:p w14:paraId="7BADB93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6</w:t>
      </w:r>
      <w:r>
        <w:rPr>
          <w:rFonts w:ascii="Times New Roman" w:hAnsi="Times New Roman" w:eastAsia="仿宋_GB2312"/>
          <w:sz w:val="32"/>
          <w:highlight w:val="none"/>
        </w:rPr>
        <w:t>.申请人应保证</w:t>
      </w:r>
      <w:r>
        <w:rPr>
          <w:rFonts w:hint="eastAsia" w:ascii="Times New Roman" w:hAnsi="Times New Roman" w:eastAsia="仿宋_GB2312"/>
          <w:sz w:val="32"/>
          <w:highlight w:val="none"/>
        </w:rPr>
        <w:t>自</w:t>
      </w:r>
      <w:r>
        <w:rPr>
          <w:rFonts w:ascii="Times New Roman" w:hAnsi="Times New Roman" w:eastAsia="仿宋_GB2312"/>
          <w:sz w:val="32"/>
          <w:highlight w:val="none"/>
        </w:rPr>
        <w:t>资助金</w:t>
      </w:r>
      <w:r>
        <w:rPr>
          <w:rFonts w:hint="eastAsia" w:ascii="Times New Roman" w:hAnsi="Times New Roman" w:eastAsia="仿宋_GB2312"/>
          <w:sz w:val="32"/>
          <w:highlight w:val="none"/>
        </w:rPr>
        <w:t>网上</w:t>
      </w:r>
      <w:r>
        <w:rPr>
          <w:rFonts w:ascii="Times New Roman" w:hAnsi="Times New Roman" w:eastAsia="仿宋_GB2312"/>
          <w:sz w:val="32"/>
          <w:highlight w:val="none"/>
        </w:rPr>
        <w:t>申报</w:t>
      </w:r>
      <w:r>
        <w:rPr>
          <w:rFonts w:hint="eastAsia" w:ascii="Times New Roman" w:hAnsi="Times New Roman" w:eastAsia="仿宋_GB2312"/>
          <w:sz w:val="32"/>
          <w:highlight w:val="none"/>
        </w:rPr>
        <w:t>至资助金发放</w:t>
      </w:r>
      <w:r>
        <w:rPr>
          <w:rFonts w:ascii="Times New Roman" w:hAnsi="Times New Roman" w:eastAsia="仿宋_GB2312"/>
          <w:sz w:val="32"/>
          <w:highlight w:val="none"/>
        </w:rPr>
        <w:t>期间，自身信用记录良好，所申报资助的知识产权</w:t>
      </w:r>
      <w:r>
        <w:rPr>
          <w:rFonts w:hint="eastAsia" w:ascii="Times New Roman" w:hAnsi="Times New Roman" w:eastAsia="仿宋_GB2312"/>
          <w:sz w:val="32"/>
          <w:highlight w:val="none"/>
        </w:rPr>
        <w:t>始终</w:t>
      </w:r>
      <w:r>
        <w:rPr>
          <w:rFonts w:ascii="Times New Roman" w:hAnsi="Times New Roman" w:eastAsia="仿宋_GB2312"/>
          <w:sz w:val="32"/>
          <w:highlight w:val="none"/>
        </w:rPr>
        <w:t>处于</w:t>
      </w:r>
      <w:r>
        <w:rPr>
          <w:rFonts w:hint="eastAsia" w:ascii="Times New Roman" w:hAnsi="Times New Roman" w:eastAsia="仿宋_GB2312"/>
          <w:sz w:val="32"/>
          <w:highlight w:val="none"/>
        </w:rPr>
        <w:t>维持</w:t>
      </w:r>
      <w:r>
        <w:rPr>
          <w:rFonts w:ascii="Times New Roman" w:hAnsi="Times New Roman" w:eastAsia="仿宋_GB2312"/>
          <w:sz w:val="32"/>
          <w:highlight w:val="none"/>
        </w:rPr>
        <w:t>有效状态</w:t>
      </w:r>
      <w:r>
        <w:rPr>
          <w:rFonts w:hint="eastAsia" w:ascii="Times New Roman" w:hAnsi="Times New Roman" w:eastAsia="仿宋_GB2312"/>
          <w:sz w:val="32"/>
          <w:highlight w:val="none"/>
        </w:rPr>
        <w:t>，</w:t>
      </w:r>
      <w:r>
        <w:rPr>
          <w:rFonts w:ascii="Times New Roman" w:hAnsi="Times New Roman" w:eastAsia="仿宋_GB2312"/>
          <w:sz w:val="32"/>
          <w:highlight w:val="none"/>
        </w:rPr>
        <w:t>且未发生</w:t>
      </w:r>
      <w:r>
        <w:rPr>
          <w:rFonts w:hint="eastAsia" w:ascii="Times New Roman" w:hAnsi="Times New Roman" w:eastAsia="仿宋_GB2312"/>
          <w:sz w:val="32"/>
          <w:highlight w:val="none"/>
        </w:rPr>
        <w:t>过影响资助</w:t>
      </w:r>
      <w:r>
        <w:rPr>
          <w:rFonts w:ascii="Times New Roman" w:hAnsi="Times New Roman" w:eastAsia="仿宋_GB2312"/>
          <w:sz w:val="32"/>
          <w:highlight w:val="none"/>
        </w:rPr>
        <w:t>金申报</w:t>
      </w:r>
      <w:r>
        <w:rPr>
          <w:rFonts w:hint="eastAsia" w:ascii="Times New Roman" w:hAnsi="Times New Roman" w:eastAsia="仿宋_GB2312"/>
          <w:sz w:val="32"/>
          <w:highlight w:val="none"/>
        </w:rPr>
        <w:t>条件的权属问题或注册地址迁出。资助金审核期间因不符合上述要求被驳回的，驳回之后发生的各类状态变更不再作为审核依据。</w:t>
      </w:r>
    </w:p>
    <w:p w14:paraId="72F5955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fldChar w:fldCharType="end"/>
      </w:r>
      <w:r>
        <w:rPr>
          <w:rFonts w:hint="eastAsia" w:ascii="Times New Roman" w:hAnsi="Times New Roman" w:eastAsia="仿宋_GB2312"/>
          <w:sz w:val="32"/>
          <w:highlight w:val="none"/>
        </w:rPr>
        <w:t>7</w:t>
      </w:r>
      <w:r>
        <w:rPr>
          <w:rFonts w:ascii="Times New Roman" w:hAnsi="Times New Roman" w:eastAsia="仿宋_GB2312"/>
          <w:sz w:val="32"/>
          <w:highlight w:val="none"/>
        </w:rPr>
        <w:t>.审核单位在审核期间，发现申请人在申报资助或</w:t>
      </w:r>
      <w:r>
        <w:rPr>
          <w:rFonts w:hint="eastAsia" w:ascii="Times New Roman" w:hAnsi="Times New Roman" w:eastAsia="仿宋_GB2312"/>
          <w:sz w:val="32"/>
          <w:highlight w:val="none"/>
        </w:rPr>
        <w:t>者</w:t>
      </w:r>
      <w:r>
        <w:rPr>
          <w:rFonts w:ascii="Times New Roman" w:hAnsi="Times New Roman" w:eastAsia="仿宋_GB2312"/>
          <w:sz w:val="32"/>
          <w:highlight w:val="none"/>
        </w:rPr>
        <w:t>知识产权服务机构接受申请人委托申报资助过程中，存在</w:t>
      </w:r>
      <w:r>
        <w:rPr>
          <w:rFonts w:hint="eastAsia" w:ascii="Times New Roman" w:hAnsi="Times New Roman" w:eastAsia="仿宋_GB2312"/>
          <w:sz w:val="32"/>
          <w:highlight w:val="none"/>
        </w:rPr>
        <w:t>非正常专利申请、恶意商标注册、</w:t>
      </w:r>
      <w:r>
        <w:rPr>
          <w:rFonts w:ascii="Times New Roman" w:hAnsi="Times New Roman" w:eastAsia="仿宋_GB2312"/>
          <w:sz w:val="32"/>
          <w:highlight w:val="none"/>
        </w:rPr>
        <w:t>弄虚作假套取资金</w:t>
      </w:r>
      <w:r>
        <w:rPr>
          <w:rFonts w:hint="eastAsia" w:ascii="Times New Roman" w:hAnsi="Times New Roman" w:eastAsia="仿宋_GB2312"/>
          <w:sz w:val="32"/>
          <w:highlight w:val="none"/>
        </w:rPr>
        <w:t>等</w:t>
      </w:r>
      <w:r>
        <w:rPr>
          <w:rFonts w:ascii="Times New Roman" w:hAnsi="Times New Roman" w:eastAsia="仿宋_GB2312"/>
          <w:sz w:val="32"/>
          <w:highlight w:val="none"/>
        </w:rPr>
        <w:t>行为的，</w:t>
      </w:r>
      <w:r>
        <w:rPr>
          <w:rFonts w:hint="eastAsia" w:ascii="Times New Roman" w:hAnsi="Times New Roman" w:eastAsia="仿宋_GB2312"/>
          <w:sz w:val="32"/>
          <w:highlight w:val="none"/>
        </w:rPr>
        <w:t>将按照相关规定处理。</w:t>
      </w:r>
    </w:p>
    <w:p w14:paraId="33D9482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hint="eastAsia" w:ascii="Times New Roman" w:hAnsi="Times New Roman" w:eastAsia="黑体"/>
          <w:sz w:val="32"/>
          <w:highlight w:val="none"/>
        </w:rPr>
        <w:t>五、资助金发放</w:t>
      </w:r>
    </w:p>
    <w:p w14:paraId="4279517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ascii="Times New Roman" w:hAnsi="Times New Roman" w:eastAsia="仿宋_GB2312"/>
          <w:sz w:val="32"/>
          <w:highlight w:val="none"/>
        </w:rPr>
        <w:t>1.资助金发放前，市知识产权局将资助金发放名单在局政务网站（网址：http://zscqj.beijing.gov.cn/）向社会公示，公示期不少于5个工作日。</w:t>
      </w:r>
      <w:r>
        <w:rPr>
          <w:rFonts w:hint="eastAsia" w:ascii="Times New Roman" w:hAnsi="Times New Roman" w:eastAsia="仿宋_GB2312"/>
          <w:sz w:val="32"/>
          <w:highlight w:val="none"/>
        </w:rPr>
        <w:t>申请人、社会公众对上述发放名单及审核结果有异议的，应在公示期内提出。</w:t>
      </w:r>
    </w:p>
    <w:p w14:paraId="644A4AA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2</w:t>
      </w:r>
      <w:r>
        <w:rPr>
          <w:rFonts w:ascii="Times New Roman" w:hAnsi="Times New Roman" w:eastAsia="仿宋_GB2312"/>
          <w:sz w:val="32"/>
          <w:highlight w:val="none"/>
        </w:rPr>
        <w:t>.资助金发放名单公示期结束后，市知识产权局授权的资助金发放单位（简称</w:t>
      </w:r>
      <w:r>
        <w:rPr>
          <w:rFonts w:hint="eastAsia" w:ascii="仿宋_GB2312" w:hAnsi="仿宋_GB2312" w:eastAsia="仿宋_GB2312" w:cs="仿宋_GB2312"/>
          <w:sz w:val="32"/>
          <w:highlight w:val="none"/>
        </w:rPr>
        <w:t>“发放单位”</w:t>
      </w:r>
      <w:r>
        <w:rPr>
          <w:rFonts w:ascii="Times New Roman" w:hAnsi="Times New Roman" w:eastAsia="仿宋_GB2312"/>
          <w:sz w:val="32"/>
          <w:highlight w:val="none"/>
        </w:rPr>
        <w:t>）负责按无异议公示结果予以资助，通过银行转账的方式发放资金。</w:t>
      </w:r>
    </w:p>
    <w:p w14:paraId="0599A9C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3</w:t>
      </w:r>
      <w:r>
        <w:rPr>
          <w:rFonts w:ascii="Times New Roman" w:hAnsi="Times New Roman" w:eastAsia="仿宋_GB2312"/>
          <w:sz w:val="32"/>
          <w:highlight w:val="none"/>
        </w:rPr>
        <w:t>.申请人在资助金申报表中填写的银行账户信息</w:t>
      </w:r>
      <w:r>
        <w:rPr>
          <w:rFonts w:hint="eastAsia" w:ascii="Times New Roman" w:hAnsi="Times New Roman" w:eastAsia="仿宋_GB2312"/>
          <w:sz w:val="32"/>
          <w:highlight w:val="none"/>
        </w:rPr>
        <w:t>（包括开户行、行号、单位名称）</w:t>
      </w:r>
      <w:r>
        <w:rPr>
          <w:rFonts w:ascii="Times New Roman" w:hAnsi="Times New Roman" w:eastAsia="仿宋_GB2312"/>
          <w:sz w:val="32"/>
          <w:highlight w:val="none"/>
        </w:rPr>
        <w:t>必须真实有效，如果因申请人提供的银行账户信息有误或银行账户信息变更后未及时修改，而导致资助金转账失败的，视为放弃所申报批次的资助金，发放单位有权不予资助。</w:t>
      </w:r>
    </w:p>
    <w:p w14:paraId="1D290A0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4</w:t>
      </w:r>
      <w:r>
        <w:rPr>
          <w:rFonts w:ascii="Times New Roman" w:hAnsi="Times New Roman" w:eastAsia="仿宋_GB2312"/>
          <w:sz w:val="32"/>
          <w:highlight w:val="none"/>
        </w:rPr>
        <w:t>.</w:t>
      </w:r>
      <w:r>
        <w:rPr>
          <w:rFonts w:hint="eastAsia" w:ascii="Times New Roman" w:hAnsi="Times New Roman" w:eastAsia="仿宋_GB2312"/>
          <w:sz w:val="32"/>
          <w:highlight w:val="none"/>
        </w:rPr>
        <w:t>如发生错发资助金情况的，</w:t>
      </w:r>
      <w:r>
        <w:rPr>
          <w:rFonts w:ascii="Times New Roman" w:hAnsi="Times New Roman" w:eastAsia="仿宋_GB2312"/>
          <w:sz w:val="32"/>
          <w:highlight w:val="none"/>
        </w:rPr>
        <w:t>申请人应积极配合市知识产权局及时退回超额资金，拒不退回的按失信处理。</w:t>
      </w:r>
    </w:p>
    <w:p w14:paraId="3F7236B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highlight w:val="none"/>
        </w:rPr>
      </w:pPr>
      <w:r>
        <w:rPr>
          <w:rFonts w:hint="eastAsia" w:ascii="Times New Roman" w:hAnsi="Times New Roman" w:eastAsia="仿宋_GB2312"/>
          <w:sz w:val="32"/>
          <w:highlight w:val="none"/>
        </w:rPr>
        <w:t>5</w:t>
      </w:r>
      <w:r>
        <w:rPr>
          <w:rFonts w:ascii="Times New Roman" w:hAnsi="Times New Roman" w:eastAsia="仿宋_GB2312"/>
          <w:sz w:val="32"/>
          <w:highlight w:val="none"/>
        </w:rPr>
        <w:t>.每个申报周期的资助金发放，将</w:t>
      </w:r>
      <w:r>
        <w:rPr>
          <w:rFonts w:hint="eastAsia" w:ascii="Times New Roman" w:hAnsi="Times New Roman" w:eastAsia="仿宋_GB2312"/>
          <w:sz w:val="32"/>
          <w:szCs w:val="32"/>
          <w:highlight w:val="none"/>
        </w:rPr>
        <w:t>根据与财政部门沟通确定的资助资金退坡机制来确定年度资助标准和范围</w:t>
      </w:r>
      <w:r>
        <w:rPr>
          <w:rFonts w:ascii="Times New Roman" w:hAnsi="Times New Roman" w:eastAsia="仿宋_GB2312"/>
          <w:sz w:val="32"/>
          <w:highlight w:val="none"/>
        </w:rPr>
        <w:t>，</w:t>
      </w:r>
      <w:r>
        <w:rPr>
          <w:rFonts w:hint="eastAsia" w:ascii="Times New Roman" w:hAnsi="Times New Roman" w:eastAsia="仿宋_GB2312"/>
          <w:sz w:val="32"/>
          <w:highlight w:val="none"/>
        </w:rPr>
        <w:t>并</w:t>
      </w:r>
      <w:r>
        <w:rPr>
          <w:rFonts w:ascii="Times New Roman" w:hAnsi="Times New Roman" w:eastAsia="仿宋_GB2312"/>
          <w:sz w:val="32"/>
          <w:highlight w:val="none"/>
        </w:rPr>
        <w:t>结合当年财政资金总额统筹安排。</w:t>
      </w:r>
    </w:p>
    <w:p w14:paraId="56EA8CB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sz w:val="32"/>
          <w:highlight w:val="none"/>
        </w:rPr>
      </w:pPr>
      <w:r>
        <w:rPr>
          <w:rFonts w:ascii="Times New Roman" w:hAnsi="Times New Roman" w:eastAsia="黑体"/>
          <w:sz w:val="32"/>
          <w:highlight w:val="none"/>
        </w:rPr>
        <w:t>六、咨询方式</w:t>
      </w:r>
    </w:p>
    <w:p w14:paraId="33B23C4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ascii="Times New Roman" w:hAnsi="Times New Roman" w:eastAsia="仿宋_GB2312"/>
          <w:kern w:val="0"/>
          <w:sz w:val="32"/>
          <w:szCs w:val="32"/>
          <w:highlight w:val="none"/>
        </w:rPr>
        <w:t>202</w:t>
      </w:r>
      <w:r>
        <w:rPr>
          <w:rFonts w:hint="eastAsia" w:ascii="Times New Roman" w:hAnsi="Times New Roman" w:eastAsia="仿宋_GB2312"/>
          <w:kern w:val="0"/>
          <w:sz w:val="32"/>
          <w:szCs w:val="32"/>
          <w:highlight w:val="none"/>
          <w:lang w:val="en-US" w:eastAsia="zh-CN"/>
        </w:rPr>
        <w:t>5</w:t>
      </w:r>
      <w:r>
        <w:rPr>
          <w:rFonts w:ascii="Times New Roman" w:hAnsi="Times New Roman" w:eastAsia="仿宋_GB2312"/>
          <w:kern w:val="0"/>
          <w:sz w:val="32"/>
          <w:szCs w:val="32"/>
          <w:highlight w:val="none"/>
        </w:rPr>
        <w:t>年北京市知识产权资助金申报</w:t>
      </w:r>
      <w:r>
        <w:rPr>
          <w:rFonts w:hint="eastAsia" w:ascii="Times New Roman" w:hAnsi="Times New Roman" w:eastAsia="仿宋_GB2312"/>
          <w:kern w:val="0"/>
          <w:sz w:val="32"/>
          <w:szCs w:val="32"/>
          <w:highlight w:val="none"/>
        </w:rPr>
        <w:t>期间，</w:t>
      </w:r>
      <w:r>
        <w:rPr>
          <w:rFonts w:ascii="Times New Roman" w:hAnsi="Times New Roman" w:eastAsia="仿宋_GB2312"/>
          <w:kern w:val="0"/>
          <w:sz w:val="32"/>
          <w:szCs w:val="32"/>
          <w:highlight w:val="none"/>
        </w:rPr>
        <w:t>北京</w:t>
      </w:r>
      <w:r>
        <w:rPr>
          <w:rFonts w:hint="eastAsia" w:ascii="Times New Roman" w:hAnsi="Times New Roman" w:eastAsia="仿宋_GB2312"/>
          <w:kern w:val="0"/>
          <w:sz w:val="32"/>
          <w:szCs w:val="32"/>
          <w:highlight w:val="none"/>
        </w:rPr>
        <w:t>市</w:t>
      </w:r>
      <w:r>
        <w:rPr>
          <w:rFonts w:ascii="Times New Roman" w:hAnsi="Times New Roman" w:eastAsia="仿宋_GB2312"/>
          <w:kern w:val="0"/>
          <w:sz w:val="32"/>
          <w:szCs w:val="32"/>
          <w:highlight w:val="none"/>
        </w:rPr>
        <w:t>知识产权保护中心</w:t>
      </w:r>
      <w:r>
        <w:rPr>
          <w:rFonts w:hint="eastAsia" w:ascii="Times New Roman" w:hAnsi="Times New Roman" w:eastAsia="仿宋_GB2312"/>
          <w:kern w:val="0"/>
          <w:sz w:val="32"/>
          <w:szCs w:val="32"/>
          <w:highlight w:val="none"/>
        </w:rPr>
        <w:t>为申请人提供电话、网络和</w:t>
      </w:r>
      <w:r>
        <w:rPr>
          <w:rFonts w:ascii="Times New Roman" w:hAnsi="Times New Roman" w:eastAsia="仿宋_GB2312"/>
          <w:kern w:val="0"/>
          <w:sz w:val="32"/>
          <w:szCs w:val="32"/>
          <w:highlight w:val="none"/>
        </w:rPr>
        <w:t>窗口</w:t>
      </w:r>
      <w:r>
        <w:rPr>
          <w:rFonts w:hint="eastAsia" w:ascii="Times New Roman" w:hAnsi="Times New Roman" w:eastAsia="仿宋_GB2312"/>
          <w:kern w:val="0"/>
          <w:sz w:val="32"/>
          <w:szCs w:val="32"/>
          <w:highlight w:val="none"/>
        </w:rPr>
        <w:t>咨询服务</w:t>
      </w:r>
      <w:r>
        <w:rPr>
          <w:rFonts w:ascii="Times New Roman" w:hAnsi="Times New Roman" w:eastAsia="仿宋_GB2312"/>
          <w:kern w:val="0"/>
          <w:sz w:val="32"/>
          <w:szCs w:val="32"/>
          <w:highlight w:val="none"/>
        </w:rPr>
        <w:t>：</w:t>
      </w:r>
    </w:p>
    <w:p w14:paraId="55B5F82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kern w:val="0"/>
          <w:sz w:val="32"/>
          <w:szCs w:val="32"/>
          <w:highlight w:val="none"/>
          <w:lang w:bidi="ar"/>
        </w:rPr>
      </w:pPr>
      <w:r>
        <w:rPr>
          <w:rFonts w:hint="eastAsia" w:ascii="Times New Roman" w:hAnsi="Times New Roman" w:eastAsia="仿宋_GB2312"/>
          <w:kern w:val="0"/>
          <w:sz w:val="32"/>
          <w:szCs w:val="32"/>
          <w:highlight w:val="none"/>
        </w:rPr>
        <w:t>（一）咨询</w:t>
      </w:r>
      <w:r>
        <w:rPr>
          <w:rFonts w:ascii="Times New Roman" w:hAnsi="Times New Roman" w:eastAsia="仿宋_GB2312"/>
          <w:kern w:val="0"/>
          <w:sz w:val="32"/>
          <w:szCs w:val="32"/>
          <w:highlight w:val="none"/>
        </w:rPr>
        <w:t>电话：82612006</w:t>
      </w:r>
      <w:r>
        <w:rPr>
          <w:rFonts w:hint="eastAsia" w:ascii="Times New Roman" w:hAnsi="Times New Roman" w:eastAsia="仿宋_GB2312"/>
          <w:kern w:val="0"/>
          <w:sz w:val="32"/>
          <w:szCs w:val="32"/>
          <w:highlight w:val="none"/>
        </w:rPr>
        <w:t>-</w:t>
      </w:r>
      <w:r>
        <w:rPr>
          <w:rFonts w:ascii="Times New Roman" w:hAnsi="Times New Roman" w:eastAsia="仿宋_GB2312"/>
          <w:kern w:val="0"/>
          <w:sz w:val="32"/>
          <w:szCs w:val="32"/>
          <w:highlight w:val="none"/>
        </w:rPr>
        <w:t>3</w:t>
      </w:r>
      <w:r>
        <w:rPr>
          <w:rFonts w:hint="eastAsia" w:ascii="Times New Roman" w:hAnsi="Times New Roman" w:eastAsia="仿宋_GB2312"/>
          <w:kern w:val="0"/>
          <w:sz w:val="32"/>
          <w:szCs w:val="32"/>
          <w:highlight w:val="none"/>
        </w:rPr>
        <w:t>/603</w:t>
      </w:r>
      <w:r>
        <w:rPr>
          <w:rFonts w:hint="eastAsia" w:ascii="Times New Roman" w:hAnsi="Times New Roman" w:eastAsia="仿宋_GB2312"/>
          <w:kern w:val="0"/>
          <w:sz w:val="32"/>
          <w:szCs w:val="32"/>
          <w:highlight w:val="none"/>
          <w:lang w:bidi="ar"/>
        </w:rPr>
        <w:t>（资助政策咨询）、</w:t>
      </w:r>
    </w:p>
    <w:p w14:paraId="6BCC68A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lang w:bidi="ar"/>
        </w:rPr>
        <w:t>13717616895（资助系统技术支持）</w:t>
      </w:r>
      <w:r>
        <w:rPr>
          <w:rFonts w:ascii="Times New Roman" w:hAnsi="Times New Roman" w:eastAsia="仿宋_GB2312"/>
          <w:kern w:val="0"/>
          <w:sz w:val="32"/>
          <w:szCs w:val="32"/>
          <w:highlight w:val="none"/>
        </w:rPr>
        <w:t>；</w:t>
      </w:r>
    </w:p>
    <w:p w14:paraId="368EB19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电话咨询</w:t>
      </w:r>
      <w:r>
        <w:rPr>
          <w:rFonts w:ascii="Times New Roman" w:hAnsi="Times New Roman" w:eastAsia="仿宋_GB2312"/>
          <w:kern w:val="0"/>
          <w:sz w:val="32"/>
          <w:szCs w:val="32"/>
          <w:highlight w:val="none"/>
        </w:rPr>
        <w:t>时间：</w:t>
      </w:r>
      <w:r>
        <w:rPr>
          <w:rFonts w:hint="eastAsia" w:ascii="Times New Roman" w:hAnsi="Times New Roman" w:eastAsia="仿宋_GB2312"/>
          <w:kern w:val="0"/>
          <w:sz w:val="32"/>
          <w:szCs w:val="32"/>
          <w:highlight w:val="none"/>
        </w:rPr>
        <w:t>工作日</w:t>
      </w:r>
      <w:r>
        <w:rPr>
          <w:rFonts w:ascii="Times New Roman" w:hAnsi="Times New Roman" w:eastAsia="仿宋_GB2312"/>
          <w:kern w:val="0"/>
          <w:sz w:val="32"/>
          <w:szCs w:val="32"/>
          <w:highlight w:val="none"/>
        </w:rPr>
        <w:t>09:00至1</w:t>
      </w:r>
      <w:r>
        <w:rPr>
          <w:rFonts w:hint="eastAsia" w:ascii="Times New Roman" w:hAnsi="Times New Roman" w:eastAsia="仿宋_GB2312"/>
          <w:kern w:val="0"/>
          <w:sz w:val="32"/>
          <w:szCs w:val="32"/>
          <w:highlight w:val="none"/>
        </w:rPr>
        <w:t>8</w:t>
      </w:r>
      <w:r>
        <w:rPr>
          <w:rFonts w:ascii="Times New Roman" w:hAnsi="Times New Roman" w:eastAsia="仿宋_GB2312"/>
          <w:kern w:val="0"/>
          <w:sz w:val="32"/>
          <w:szCs w:val="32"/>
          <w:highlight w:val="none"/>
        </w:rPr>
        <w:t>:00</w:t>
      </w:r>
      <w:r>
        <w:rPr>
          <w:rFonts w:hint="eastAsia" w:ascii="Times New Roman" w:hAnsi="Times New Roman" w:eastAsia="仿宋_GB2312"/>
          <w:kern w:val="0"/>
          <w:sz w:val="32"/>
          <w:szCs w:val="32"/>
          <w:highlight w:val="none"/>
        </w:rPr>
        <w:t>；</w:t>
      </w:r>
    </w:p>
    <w:p w14:paraId="2695BD6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（二）</w:t>
      </w:r>
      <w:r>
        <w:rPr>
          <w:rFonts w:ascii="Times New Roman" w:hAnsi="Times New Roman" w:eastAsia="仿宋_GB2312"/>
          <w:kern w:val="0"/>
          <w:sz w:val="32"/>
          <w:szCs w:val="32"/>
          <w:highlight w:val="none"/>
        </w:rPr>
        <w:t>网上咨询：</w:t>
      </w:r>
      <w:r>
        <w:rPr>
          <w:rFonts w:hint="eastAsia" w:ascii="Times New Roman" w:hAnsi="Times New Roman" w:eastAsia="仿宋_GB2312"/>
          <w:kern w:val="0"/>
          <w:sz w:val="32"/>
          <w:szCs w:val="32"/>
          <w:highlight w:val="none"/>
        </w:rPr>
        <w:t>钉钉群：</w:t>
      </w:r>
      <w:r>
        <w:rPr>
          <w:rFonts w:hint="eastAsia" w:ascii="Times New Roman" w:hAnsi="Times New Roman" w:eastAsia="仿宋_GB2312"/>
          <w:kern w:val="0"/>
          <w:sz w:val="32"/>
          <w:szCs w:val="32"/>
          <w:highlight w:val="none"/>
          <w:lang w:val="en-US" w:eastAsia="zh-CN"/>
        </w:rPr>
        <w:t>86895009682</w:t>
      </w:r>
      <w:r>
        <w:rPr>
          <w:rFonts w:hint="eastAsia" w:ascii="Times New Roman" w:hAnsi="Times New Roman" w:eastAsia="仿宋_GB2312"/>
          <w:kern w:val="0"/>
          <w:sz w:val="32"/>
          <w:szCs w:val="32"/>
          <w:highlight w:val="none"/>
        </w:rPr>
        <w:t>、44962810</w:t>
      </w:r>
      <w:r>
        <w:rPr>
          <w:rFonts w:hint="eastAsia" w:ascii="Times New Roman" w:hAnsi="Times New Roman" w:eastAsia="仿宋_GB2312"/>
          <w:kern w:val="0"/>
          <w:sz w:val="32"/>
          <w:szCs w:val="32"/>
          <w:highlight w:val="none"/>
          <w:lang w:eastAsia="zh-CN"/>
        </w:rPr>
        <w:t>、</w:t>
      </w:r>
      <w:r>
        <w:rPr>
          <w:rFonts w:hint="eastAsia" w:ascii="Times New Roman" w:hAnsi="Times New Roman" w:eastAsia="仿宋_GB2312"/>
          <w:kern w:val="0"/>
          <w:sz w:val="32"/>
          <w:szCs w:val="32"/>
          <w:highlight w:val="none"/>
        </w:rPr>
        <w:t>35154261；</w:t>
      </w:r>
    </w:p>
    <w:p w14:paraId="0E977773">
      <w:pPr>
        <w:pStyle w:val="2"/>
        <w:keepNext w:val="0"/>
        <w:keepLines w:val="0"/>
        <w:pageBreakBefore w:val="0"/>
        <w:widowControl w:val="0"/>
        <w:kinsoku/>
        <w:wordWrap/>
        <w:overflowPunct/>
        <w:topLinePunct w:val="0"/>
        <w:autoSpaceDE/>
        <w:autoSpaceDN/>
        <w:bidi w:val="0"/>
        <w:adjustRightInd/>
        <w:snapToGrid/>
        <w:spacing w:line="540" w:lineRule="exact"/>
        <w:ind w:firstLine="640"/>
        <w:textAlignment w:val="auto"/>
        <w:rPr>
          <w:highlight w:val="none"/>
        </w:rPr>
      </w:pPr>
      <w:r>
        <w:rPr>
          <w:rFonts w:hint="eastAsia"/>
          <w:highlight w:val="none"/>
        </w:rPr>
        <w:t>企业微信群：北京市知识产权资助金项目组</w:t>
      </w:r>
      <w:r>
        <w:rPr>
          <w:rFonts w:hint="eastAsia"/>
          <w:highlight w:val="none"/>
          <w:lang w:eastAsia="zh-CN"/>
        </w:rPr>
        <w:t>（</w:t>
      </w:r>
      <w:r>
        <w:rPr>
          <w:rFonts w:hint="eastAsia"/>
          <w:highlight w:val="none"/>
          <w:lang w:val="en-US" w:eastAsia="zh-CN"/>
        </w:rPr>
        <w:t>到申报系统网站扫码入群</w:t>
      </w:r>
      <w:r>
        <w:rPr>
          <w:rFonts w:hint="eastAsia"/>
          <w:highlight w:val="none"/>
          <w:lang w:eastAsia="zh-CN"/>
        </w:rPr>
        <w:t>）</w:t>
      </w:r>
      <w:r>
        <w:rPr>
          <w:rFonts w:hint="eastAsia"/>
          <w:highlight w:val="none"/>
        </w:rPr>
        <w:t>；</w:t>
      </w:r>
    </w:p>
    <w:p w14:paraId="5B6C9C2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ascii="Times New Roman" w:hAnsi="Times New Roman" w:eastAsia="仿宋_GB2312"/>
          <w:kern w:val="0"/>
          <w:sz w:val="32"/>
          <w:szCs w:val="32"/>
          <w:highlight w:val="none"/>
        </w:rPr>
        <w:t>电子邮箱：zizhu@zscqj.beijing.gov.cn</w:t>
      </w:r>
      <w:r>
        <w:rPr>
          <w:rFonts w:hint="eastAsia" w:ascii="Times New Roman" w:hAnsi="Times New Roman" w:eastAsia="仿宋_GB2312"/>
          <w:kern w:val="0"/>
          <w:sz w:val="32"/>
          <w:szCs w:val="32"/>
          <w:highlight w:val="none"/>
        </w:rPr>
        <w:t>；</w:t>
      </w:r>
    </w:p>
    <w:p w14:paraId="7CC43DB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（三）</w:t>
      </w:r>
      <w:r>
        <w:rPr>
          <w:rFonts w:ascii="Times New Roman" w:hAnsi="Times New Roman" w:eastAsia="仿宋_GB2312"/>
          <w:kern w:val="0"/>
          <w:sz w:val="32"/>
          <w:szCs w:val="32"/>
          <w:highlight w:val="none"/>
        </w:rPr>
        <w:t>窗口</w:t>
      </w:r>
      <w:r>
        <w:rPr>
          <w:rFonts w:hint="eastAsia" w:ascii="Times New Roman" w:hAnsi="Times New Roman" w:eastAsia="仿宋_GB2312"/>
          <w:kern w:val="0"/>
          <w:sz w:val="32"/>
          <w:szCs w:val="32"/>
          <w:highlight w:val="none"/>
        </w:rPr>
        <w:t>咨询</w:t>
      </w:r>
      <w:r>
        <w:rPr>
          <w:rFonts w:ascii="Times New Roman" w:hAnsi="Times New Roman" w:eastAsia="仿宋_GB2312"/>
          <w:kern w:val="0"/>
          <w:sz w:val="32"/>
          <w:szCs w:val="32"/>
          <w:highlight w:val="none"/>
        </w:rPr>
        <w:t>地址：北京市海淀区北四环西路66号中国技术交易大厦A座2层北京</w:t>
      </w:r>
      <w:r>
        <w:rPr>
          <w:rFonts w:hint="eastAsia" w:ascii="Times New Roman" w:hAnsi="Times New Roman" w:eastAsia="仿宋_GB2312"/>
          <w:kern w:val="0"/>
          <w:sz w:val="32"/>
          <w:szCs w:val="32"/>
          <w:highlight w:val="none"/>
        </w:rPr>
        <w:t>市</w:t>
      </w:r>
      <w:r>
        <w:rPr>
          <w:rFonts w:ascii="Times New Roman" w:hAnsi="Times New Roman" w:eastAsia="仿宋_GB2312"/>
          <w:kern w:val="0"/>
          <w:sz w:val="32"/>
          <w:szCs w:val="32"/>
          <w:highlight w:val="none"/>
        </w:rPr>
        <w:t>知识产权保护中心服务大厅7号窗口；</w:t>
      </w:r>
    </w:p>
    <w:p w14:paraId="20BE0CB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kern w:val="0"/>
          <w:sz w:val="32"/>
          <w:szCs w:val="32"/>
          <w:highlight w:val="none"/>
          <w:lang w:bidi="ar"/>
        </w:rPr>
      </w:pPr>
      <w:r>
        <w:rPr>
          <w:rFonts w:ascii="Times New Roman" w:hAnsi="Times New Roman" w:eastAsia="仿宋_GB2312"/>
          <w:kern w:val="0"/>
          <w:sz w:val="32"/>
          <w:szCs w:val="32"/>
          <w:highlight w:val="none"/>
        </w:rPr>
        <w:t>窗口</w:t>
      </w:r>
      <w:r>
        <w:rPr>
          <w:rFonts w:hint="eastAsia" w:ascii="Times New Roman" w:hAnsi="Times New Roman" w:eastAsia="仿宋_GB2312"/>
          <w:kern w:val="0"/>
          <w:sz w:val="32"/>
          <w:szCs w:val="32"/>
          <w:highlight w:val="none"/>
        </w:rPr>
        <w:t>服务</w:t>
      </w:r>
      <w:r>
        <w:rPr>
          <w:rFonts w:ascii="Times New Roman" w:hAnsi="Times New Roman" w:eastAsia="仿宋_GB2312"/>
          <w:kern w:val="0"/>
          <w:sz w:val="32"/>
          <w:szCs w:val="32"/>
          <w:highlight w:val="none"/>
        </w:rPr>
        <w:t>时间：</w:t>
      </w:r>
      <w:r>
        <w:rPr>
          <w:rFonts w:hint="eastAsia" w:ascii="Times New Roman" w:hAnsi="Times New Roman" w:eastAsia="仿宋_GB2312"/>
          <w:kern w:val="0"/>
          <w:sz w:val="32"/>
          <w:szCs w:val="32"/>
          <w:highlight w:val="none"/>
        </w:rPr>
        <w:t>工作日</w:t>
      </w:r>
      <w:r>
        <w:rPr>
          <w:rFonts w:ascii="Times New Roman" w:hAnsi="Times New Roman" w:eastAsia="仿宋_GB2312"/>
          <w:kern w:val="0"/>
          <w:sz w:val="32"/>
          <w:szCs w:val="32"/>
          <w:highlight w:val="none"/>
        </w:rPr>
        <w:t>09:00至17:00。</w:t>
      </w:r>
    </w:p>
    <w:p w14:paraId="5EFEDB59">
      <w:pPr>
        <w:pStyle w:val="2"/>
        <w:spacing w:line="760" w:lineRule="exact"/>
        <w:ind w:firstLine="640"/>
        <w:rPr>
          <w:rFonts w:ascii="Times New Roman" w:hAnsi="Times New Roman"/>
          <w:highlight w:val="none"/>
        </w:rPr>
      </w:pPr>
    </w:p>
    <w:tbl>
      <w:tblPr>
        <w:tblStyle w:val="6"/>
        <w:tblpPr w:leftFromText="180" w:rightFromText="180" w:vertAnchor="text" w:horzAnchor="page" w:tblpX="1736" w:tblpY="540"/>
        <w:tblOverlap w:val="never"/>
        <w:tblW w:w="4875" w:type="pct"/>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85"/>
        <w:gridCol w:w="3549"/>
      </w:tblGrid>
      <w:tr w14:paraId="22DBFA16">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1" w:type="pct"/>
            <w:noWrap w:val="0"/>
            <w:vAlign w:val="top"/>
          </w:tcPr>
          <w:p w14:paraId="4E301D1C">
            <w:pPr>
              <w:pStyle w:val="2"/>
              <w:spacing w:before="60" w:after="60" w:line="460" w:lineRule="exact"/>
              <w:ind w:firstLine="140" w:firstLineChars="50"/>
              <w:rPr>
                <w:rFonts w:hint="eastAsia" w:ascii="Times New Roman" w:hAnsi="Times New Roman"/>
                <w:sz w:val="28"/>
                <w:szCs w:val="28"/>
                <w:highlight w:val="none"/>
              </w:rPr>
            </w:pPr>
            <w:r>
              <w:rPr>
                <w:rFonts w:hint="eastAsia" w:ascii="Times New Roman" w:hAnsi="Times New Roman"/>
                <w:sz w:val="28"/>
                <w:szCs w:val="28"/>
                <w:highlight w:val="none"/>
              </w:rPr>
              <w:t>北京市知识产权局办公室</w:t>
            </w:r>
          </w:p>
        </w:tc>
        <w:tc>
          <w:tcPr>
            <w:tcW w:w="2008" w:type="pct"/>
            <w:noWrap w:val="0"/>
            <w:vAlign w:val="top"/>
          </w:tcPr>
          <w:p w14:paraId="4982A63D">
            <w:pPr>
              <w:pStyle w:val="2"/>
              <w:wordWrap w:val="0"/>
              <w:spacing w:before="60" w:after="60" w:line="460" w:lineRule="exact"/>
              <w:ind w:firstLine="560"/>
              <w:jc w:val="right"/>
              <w:rPr>
                <w:rFonts w:ascii="Times New Roman" w:hAnsi="Times New Roman"/>
                <w:sz w:val="28"/>
                <w:szCs w:val="28"/>
                <w:highlight w:val="none"/>
              </w:rPr>
            </w:pPr>
            <w:r>
              <w:rPr>
                <w:rFonts w:hint="eastAsia" w:ascii="仿宋_GB2312" w:hAnsi="仿宋_GB2312" w:cs="仿宋_GB2312"/>
                <w:sz w:val="28"/>
                <w:szCs w:val="28"/>
                <w:highlight w:val="none"/>
              </w:rPr>
              <w:t>202</w:t>
            </w:r>
            <w:r>
              <w:rPr>
                <w:rFonts w:hint="eastAsia" w:ascii="仿宋_GB2312" w:hAnsi="仿宋_GB2312" w:cs="仿宋_GB2312"/>
                <w:sz w:val="28"/>
                <w:szCs w:val="28"/>
                <w:highlight w:val="none"/>
                <w:lang w:val="en-US" w:eastAsia="zh-CN"/>
              </w:rPr>
              <w:t>4</w:t>
            </w:r>
            <w:r>
              <w:rPr>
                <w:rFonts w:hint="eastAsia" w:ascii="仿宋_GB2312" w:hAnsi="仿宋_GB2312" w:cs="仿宋_GB2312"/>
                <w:sz w:val="28"/>
                <w:szCs w:val="28"/>
                <w:highlight w:val="none"/>
              </w:rPr>
              <w:t>年7月</w:t>
            </w:r>
            <w:r>
              <w:rPr>
                <w:rFonts w:hint="eastAsia" w:ascii="仿宋_GB2312" w:hAnsi="仿宋_GB2312" w:cs="仿宋_GB2312"/>
                <w:sz w:val="28"/>
                <w:szCs w:val="28"/>
                <w:highlight w:val="none"/>
                <w:lang w:val="en-US" w:eastAsia="zh-CN"/>
              </w:rPr>
              <w:t>23</w:t>
            </w:r>
            <w:r>
              <w:rPr>
                <w:rFonts w:hint="eastAsia" w:ascii="仿宋_GB2312" w:hAnsi="仿宋_GB2312" w:cs="仿宋_GB2312"/>
                <w:sz w:val="28"/>
                <w:szCs w:val="28"/>
                <w:highlight w:val="none"/>
              </w:rPr>
              <w:t>日</w:t>
            </w:r>
            <w:r>
              <w:rPr>
                <w:rFonts w:hint="eastAsia" w:ascii="Times New Roman" w:hAnsi="Times New Roman"/>
                <w:sz w:val="28"/>
                <w:szCs w:val="28"/>
                <w:highlight w:val="none"/>
              </w:rPr>
              <w:t xml:space="preserve">印发 </w:t>
            </w:r>
          </w:p>
        </w:tc>
      </w:tr>
    </w:tbl>
    <w:p w14:paraId="4E549084">
      <w:pPr>
        <w:pStyle w:val="2"/>
        <w:spacing w:line="20" w:lineRule="exact"/>
        <w:ind w:firstLine="640"/>
        <w:rPr>
          <w:rFonts w:ascii="Times New Roman" w:hAnsi="Times New Roman"/>
          <w:highlight w:val="none"/>
        </w:rPr>
      </w:pPr>
    </w:p>
    <w:sectPr>
      <w:footerReference r:id="rId3" w:type="default"/>
      <w:footerReference r:id="rId4"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A536431-205D-4B1A-9D61-664BAF9864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2D61944-3A84-491D-B57F-EE1D736F8692}"/>
  </w:font>
  <w:font w:name="仿宋_GB2312">
    <w:panose1 w:val="02010609030101010101"/>
    <w:charset w:val="86"/>
    <w:family w:val="auto"/>
    <w:pitch w:val="default"/>
    <w:sig w:usb0="00000001" w:usb1="080E0000" w:usb2="00000000" w:usb3="00000000" w:csb0="00040000" w:csb1="00000000"/>
    <w:embedRegular r:id="rId3" w:fontKey="{BF99501D-4B1B-4690-ACB1-E86654289F63}"/>
  </w:font>
  <w:font w:name="仿宋">
    <w:panose1 w:val="02010609060101010101"/>
    <w:charset w:val="86"/>
    <w:family w:val="modern"/>
    <w:pitch w:val="default"/>
    <w:sig w:usb0="800002BF" w:usb1="38CF7CFA" w:usb2="00000016" w:usb3="00000000" w:csb0="00040001" w:csb1="00000000"/>
    <w:embedRegular r:id="rId4" w:fontKey="{DC18ECBF-D679-42B8-830A-64972DA38A12}"/>
  </w:font>
  <w:font w:name="方正小标宋简体">
    <w:panose1 w:val="02000000000000000000"/>
    <w:charset w:val="86"/>
    <w:family w:val="script"/>
    <w:pitch w:val="default"/>
    <w:sig w:usb0="00000001" w:usb1="08000000" w:usb2="00000000" w:usb3="00000000" w:csb0="00040000" w:csb1="00000000"/>
    <w:embedRegular r:id="rId5" w:fontKey="{7399AB4D-846C-464A-94C3-E3EC735DC544}"/>
  </w:font>
  <w:font w:name="Helvetica">
    <w:altName w:val="Arial"/>
    <w:panose1 w:val="020B0504020202020204"/>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embedRegular r:id="rId6" w:fontKey="{37B46AFE-B249-4AC7-8573-6A9F2007AFD7}"/>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EEE4C">
    <w:pPr>
      <w:pStyle w:val="4"/>
      <w:jc w:val="right"/>
    </w:pPr>
    <w:r>
      <w:rPr>
        <w:rFonts w:hint="eastAsia" w:ascii="宋体" w:hAnsi="宋体"/>
        <w:kern w:val="0"/>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kern w:val="0"/>
        <w:sz w:val="28"/>
        <w:szCs w:val="28"/>
      </w:rPr>
      <w:t>1</w:t>
    </w:r>
    <w:r>
      <w:rPr>
        <w:rFonts w:ascii="宋体" w:hAnsi="宋体"/>
        <w:sz w:val="28"/>
        <w:szCs w:val="28"/>
      </w:rPr>
      <w:fldChar w:fldCharType="end"/>
    </w:r>
    <w:r>
      <w:rPr>
        <w:rFonts w:hint="eastAsia" w:ascii="宋体" w:hAnsi="宋体"/>
        <w:kern w:val="0"/>
        <w:sz w:val="28"/>
        <w:szCs w:val="28"/>
      </w:rPr>
      <w:t>—</w:t>
    </w:r>
  </w:p>
  <w:p w14:paraId="6F27F91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DD29">
    <w:pPr>
      <w:pStyle w:val="4"/>
    </w:pPr>
    <w:r>
      <w:rPr>
        <w:rFonts w:hint="eastAsia" w:ascii="宋体" w:hAnsi="宋体"/>
        <w:kern w:val="0"/>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kern w:val="0"/>
        <w:sz w:val="28"/>
        <w:szCs w:val="28"/>
      </w:rPr>
      <w:t>—</w:t>
    </w:r>
  </w:p>
  <w:p w14:paraId="706A2995">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hYjUxOGM3ZjVkNDhmNGRlMzQwNGQ0ZTY1MTk3MTUifQ=="/>
  </w:docVars>
  <w:rsids>
    <w:rsidRoot w:val="0004007B"/>
    <w:rsid w:val="0004007B"/>
    <w:rsid w:val="00045B83"/>
    <w:rsid w:val="000630C6"/>
    <w:rsid w:val="00082BDB"/>
    <w:rsid w:val="000A03C9"/>
    <w:rsid w:val="000B098B"/>
    <w:rsid w:val="000F197E"/>
    <w:rsid w:val="00112A82"/>
    <w:rsid w:val="00126158"/>
    <w:rsid w:val="001478E5"/>
    <w:rsid w:val="0017770E"/>
    <w:rsid w:val="00182BC6"/>
    <w:rsid w:val="00184A9B"/>
    <w:rsid w:val="00191D91"/>
    <w:rsid w:val="001C790F"/>
    <w:rsid w:val="00247690"/>
    <w:rsid w:val="00257BF7"/>
    <w:rsid w:val="00265BB9"/>
    <w:rsid w:val="002673F0"/>
    <w:rsid w:val="00283AE4"/>
    <w:rsid w:val="0028560B"/>
    <w:rsid w:val="00295E09"/>
    <w:rsid w:val="002B76D4"/>
    <w:rsid w:val="002E2701"/>
    <w:rsid w:val="00321411"/>
    <w:rsid w:val="00322B46"/>
    <w:rsid w:val="00374A15"/>
    <w:rsid w:val="003836A0"/>
    <w:rsid w:val="00396667"/>
    <w:rsid w:val="003A0523"/>
    <w:rsid w:val="003B7AC8"/>
    <w:rsid w:val="003E774E"/>
    <w:rsid w:val="003F7A91"/>
    <w:rsid w:val="00441337"/>
    <w:rsid w:val="004518E2"/>
    <w:rsid w:val="00456270"/>
    <w:rsid w:val="004901B5"/>
    <w:rsid w:val="004A5E86"/>
    <w:rsid w:val="004B2264"/>
    <w:rsid w:val="004C3733"/>
    <w:rsid w:val="004F6463"/>
    <w:rsid w:val="005028C0"/>
    <w:rsid w:val="00522FD2"/>
    <w:rsid w:val="0052614F"/>
    <w:rsid w:val="005324B7"/>
    <w:rsid w:val="00546879"/>
    <w:rsid w:val="005505E2"/>
    <w:rsid w:val="00566327"/>
    <w:rsid w:val="0059076D"/>
    <w:rsid w:val="0059558E"/>
    <w:rsid w:val="005A24BF"/>
    <w:rsid w:val="005B2D11"/>
    <w:rsid w:val="005C1E2F"/>
    <w:rsid w:val="005E6D74"/>
    <w:rsid w:val="00600C04"/>
    <w:rsid w:val="00626587"/>
    <w:rsid w:val="00653A95"/>
    <w:rsid w:val="00654C42"/>
    <w:rsid w:val="00677365"/>
    <w:rsid w:val="00677512"/>
    <w:rsid w:val="00677D57"/>
    <w:rsid w:val="006B1936"/>
    <w:rsid w:val="006B1E66"/>
    <w:rsid w:val="006E1301"/>
    <w:rsid w:val="0070739D"/>
    <w:rsid w:val="00711CF4"/>
    <w:rsid w:val="00753F6D"/>
    <w:rsid w:val="0076097C"/>
    <w:rsid w:val="00765AD7"/>
    <w:rsid w:val="00770A34"/>
    <w:rsid w:val="00782680"/>
    <w:rsid w:val="007B1F8E"/>
    <w:rsid w:val="00870CCD"/>
    <w:rsid w:val="0088012F"/>
    <w:rsid w:val="00880C26"/>
    <w:rsid w:val="008A6621"/>
    <w:rsid w:val="008D1EB4"/>
    <w:rsid w:val="008E0282"/>
    <w:rsid w:val="00926E4B"/>
    <w:rsid w:val="00951181"/>
    <w:rsid w:val="00975BAD"/>
    <w:rsid w:val="0097744D"/>
    <w:rsid w:val="009D61E7"/>
    <w:rsid w:val="009E274B"/>
    <w:rsid w:val="00A238E0"/>
    <w:rsid w:val="00A62D62"/>
    <w:rsid w:val="00A649D7"/>
    <w:rsid w:val="00A81114"/>
    <w:rsid w:val="00A904C9"/>
    <w:rsid w:val="00A940AA"/>
    <w:rsid w:val="00AB586B"/>
    <w:rsid w:val="00AC4ED5"/>
    <w:rsid w:val="00AC6526"/>
    <w:rsid w:val="00AD43D8"/>
    <w:rsid w:val="00AF19D4"/>
    <w:rsid w:val="00B05595"/>
    <w:rsid w:val="00B660CF"/>
    <w:rsid w:val="00BC16F9"/>
    <w:rsid w:val="00BF6AF2"/>
    <w:rsid w:val="00C16A72"/>
    <w:rsid w:val="00C3101D"/>
    <w:rsid w:val="00C66142"/>
    <w:rsid w:val="00C860FC"/>
    <w:rsid w:val="00CD3AC6"/>
    <w:rsid w:val="00CE7074"/>
    <w:rsid w:val="00CF68D5"/>
    <w:rsid w:val="00D65781"/>
    <w:rsid w:val="00D93205"/>
    <w:rsid w:val="00D95868"/>
    <w:rsid w:val="00DE0726"/>
    <w:rsid w:val="00DE5888"/>
    <w:rsid w:val="00DF3FBE"/>
    <w:rsid w:val="00E23070"/>
    <w:rsid w:val="00E3403B"/>
    <w:rsid w:val="00E72F4A"/>
    <w:rsid w:val="00E97B94"/>
    <w:rsid w:val="00EA4FA9"/>
    <w:rsid w:val="00ED7CD0"/>
    <w:rsid w:val="00EF23A9"/>
    <w:rsid w:val="00F03FF4"/>
    <w:rsid w:val="00F37D0E"/>
    <w:rsid w:val="00FC2646"/>
    <w:rsid w:val="00FC7C90"/>
    <w:rsid w:val="00FF4C8E"/>
    <w:rsid w:val="041651F4"/>
    <w:rsid w:val="086A79CD"/>
    <w:rsid w:val="0EB46E08"/>
    <w:rsid w:val="180A0F04"/>
    <w:rsid w:val="19162532"/>
    <w:rsid w:val="19F530B1"/>
    <w:rsid w:val="25300011"/>
    <w:rsid w:val="25803BBA"/>
    <w:rsid w:val="2B4466DC"/>
    <w:rsid w:val="31514CF8"/>
    <w:rsid w:val="32E225C2"/>
    <w:rsid w:val="3423303B"/>
    <w:rsid w:val="36C52B6C"/>
    <w:rsid w:val="371D6DB8"/>
    <w:rsid w:val="399D7242"/>
    <w:rsid w:val="3A80103E"/>
    <w:rsid w:val="3AEF1480"/>
    <w:rsid w:val="3C371BD0"/>
    <w:rsid w:val="3CF960F6"/>
    <w:rsid w:val="3DB36BC6"/>
    <w:rsid w:val="3FCD053B"/>
    <w:rsid w:val="41BB4E77"/>
    <w:rsid w:val="41F53C89"/>
    <w:rsid w:val="4C7E1155"/>
    <w:rsid w:val="51030440"/>
    <w:rsid w:val="516A7EFA"/>
    <w:rsid w:val="528D3EA0"/>
    <w:rsid w:val="54176117"/>
    <w:rsid w:val="5E48511F"/>
    <w:rsid w:val="5EA06D09"/>
    <w:rsid w:val="63B079EF"/>
    <w:rsid w:val="6C4D3CBC"/>
    <w:rsid w:val="6D03650D"/>
    <w:rsid w:val="6FF94B7D"/>
    <w:rsid w:val="76601EDF"/>
    <w:rsid w:val="7FBC53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60" w:lineRule="exact"/>
      <w:ind w:firstLine="880" w:firstLineChars="200"/>
    </w:pPr>
    <w:rPr>
      <w:rFonts w:eastAsia="仿宋_GB2312"/>
      <w:sz w:val="32"/>
    </w:rPr>
  </w:style>
  <w:style w:type="paragraph" w:styleId="3">
    <w:name w:val="Date"/>
    <w:basedOn w:val="1"/>
    <w:next w:val="1"/>
    <w:link w:val="8"/>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日期 Char"/>
    <w:basedOn w:val="7"/>
    <w:link w:val="3"/>
    <w:semiHidden/>
    <w:qFormat/>
    <w:uiPriority w:val="99"/>
  </w:style>
  <w:style w:type="character" w:customStyle="1" w:styleId="9">
    <w:name w:val="页脚 Char"/>
    <w:basedOn w:val="7"/>
    <w:link w:val="4"/>
    <w:qFormat/>
    <w:uiPriority w:val="99"/>
    <w:rPr>
      <w:sz w:val="18"/>
      <w:szCs w:val="18"/>
    </w:rPr>
  </w:style>
  <w:style w:type="character" w:customStyle="1" w:styleId="10">
    <w:name w:val="页眉 Char"/>
    <w:basedOn w:val="7"/>
    <w:link w:val="5"/>
    <w:semiHidden/>
    <w:qFormat/>
    <w:uiPriority w:val="99"/>
    <w:rPr>
      <w:sz w:val="18"/>
      <w:szCs w:val="18"/>
    </w:rPr>
  </w:style>
  <w:style w:type="paragraph" w:styleId="11">
    <w:name w:val="List Paragraph"/>
    <w:basedOn w:val="1"/>
    <w:qFormat/>
    <w:uiPriority w:val="99"/>
    <w:pPr>
      <w:ind w:firstLine="420" w:firstLineChars="200"/>
    </w:pPr>
    <w:rPr>
      <w:rFonts w:eastAsia="仿宋"/>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5670</Words>
  <Characters>6408</Characters>
  <Lines>1</Lines>
  <Paragraphs>1</Paragraphs>
  <TotalTime>314</TotalTime>
  <ScaleCrop>false</ScaleCrop>
  <LinksUpToDate>false</LinksUpToDate>
  <CharactersWithSpaces>6482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2020-02-28T01:30:00Z</dcterms:created>
  <dc:creator>ttt</dc:creator>
  <cp:lastModifiedBy>A solitary traveler</cp:lastModifiedBy>
  <cp:lastPrinted>2019-10-02T02:17:00Z</cp:lastPrinted>
  <dcterms:modified xsi:type="dcterms:W3CDTF">2024-07-24T08:57:32Z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8469861ECEAE46E4A606DE335C64AC57_13</vt:lpwstr>
  </property>
</Properties>
</file>